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_GB2312" w:hAnsi="仿宋_GB2312" w:eastAsia="仿宋_GB2312"/>
          <w:b/>
          <w:sz w:val="32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40" w:lineRule="exact"/>
        <w:ind w:left="0" w:leftChars="0" w:right="0" w:rightChars="0" w:firstLine="0" w:firstLineChars="0"/>
        <w:jc w:val="right"/>
        <w:textAlignment w:val="auto"/>
        <w:outlineLvl w:val="9"/>
        <w:rPr>
          <w:rFonts w:hint="eastAsia" w:ascii="仿宋_GB2312" w:hAnsi="仿宋_GB2312" w:eastAsia="仿宋_GB2312"/>
          <w:b/>
          <w:sz w:val="32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                             英环审</w:t>
      </w:r>
      <w:r>
        <w:rPr>
          <w:rFonts w:hint="eastAsia" w:ascii="仿宋_GB2312" w:eastAsia="仿宋_GB2312"/>
          <w:sz w:val="32"/>
        </w:rPr>
        <w:t>〔20</w:t>
      </w:r>
      <w:r>
        <w:rPr>
          <w:rFonts w:hint="eastAsia" w:ascii="仿宋_GB2312" w:eastAsia="仿宋_GB2312"/>
          <w:sz w:val="32"/>
          <w:lang w:val="en-US" w:eastAsia="zh-CN"/>
        </w:rPr>
        <w:t>20</w:t>
      </w:r>
      <w:r>
        <w:rPr>
          <w:rFonts w:hint="eastAsia" w:ascii="仿宋_GB2312" w:eastAsia="仿宋_GB2312"/>
          <w:sz w:val="32"/>
        </w:rPr>
        <w:t>〕</w:t>
      </w:r>
      <w:r>
        <w:rPr>
          <w:rFonts w:hint="eastAsia" w:ascii="仿宋_GB2312" w:eastAsia="仿宋_GB2312"/>
          <w:sz w:val="32"/>
          <w:lang w:val="en-US" w:eastAsia="zh-CN"/>
        </w:rPr>
        <w:t>53</w:t>
      </w:r>
      <w:r>
        <w:rPr>
          <w:rFonts w:hint="eastAsia" w:ascii="仿宋_GB2312" w:hAnsi="宋体" w:eastAsia="仿宋_GB2312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宋体" w:eastAsia="仿宋_GB2312"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/>
          <w:sz w:val="44"/>
          <w:szCs w:val="44"/>
        </w:rPr>
        <w:t>关于</w:t>
      </w:r>
      <w:bookmarkStart w:id="0" w:name="OLE_LINK5"/>
      <w:r>
        <w:rPr>
          <w:rFonts w:hint="eastAsia" w:ascii="方正小标宋_GBK" w:hAnsi="方正小标宋_GBK" w:eastAsia="方正小标宋_GBK"/>
          <w:sz w:val="44"/>
          <w:szCs w:val="44"/>
          <w:lang w:val="en-US" w:eastAsia="zh-CN"/>
        </w:rPr>
        <w:t>英德市城乡一体化项目-东华镇及桥头镇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/>
          <w:sz w:val="44"/>
          <w:szCs w:val="44"/>
          <w:lang w:val="en-US" w:eastAsia="zh-CN"/>
        </w:rPr>
        <w:t>园区基础设施改造（一期）工程建设项目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/>
          <w:spacing w:val="57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/>
          <w:spacing w:val="57"/>
          <w:sz w:val="44"/>
          <w:szCs w:val="44"/>
          <w:lang w:val="en-US" w:eastAsia="zh-CN"/>
        </w:rPr>
        <w:t>环境影响</w:t>
      </w:r>
      <w:bookmarkEnd w:id="0"/>
      <w:r>
        <w:rPr>
          <w:rFonts w:hint="eastAsia" w:ascii="方正小标宋_GBK" w:hAnsi="方正小标宋_GBK" w:eastAsia="方正小标宋_GBK"/>
          <w:spacing w:val="57"/>
          <w:sz w:val="44"/>
          <w:szCs w:val="44"/>
          <w:lang w:val="en-US" w:eastAsia="zh-CN"/>
        </w:rPr>
        <w:t>报告表的批复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4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eastAsia="仿宋_GB231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before="0" w:beforeLines="0" w:after="0" w:afterLines="0" w:line="560" w:lineRule="exact"/>
        <w:ind w:left="0" w:leftChars="0" w:right="0" w:right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英德市英州新农投资开发有限责任公司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before="0" w:beforeLines="0" w:after="0" w:afterLines="0" w:line="560" w:lineRule="exact"/>
        <w:ind w:left="0" w:leftChars="0" w:right="0" w:rightChars="0" w:firstLine="608" w:firstLineChars="198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你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公司</w:t>
      </w:r>
      <w:r>
        <w:rPr>
          <w:rFonts w:hint="eastAsia" w:ascii="仿宋_GB2312" w:hAnsi="仿宋_GB2312" w:eastAsia="仿宋_GB2312" w:cs="仿宋_GB2312"/>
          <w:sz w:val="32"/>
          <w:szCs w:val="32"/>
        </w:rPr>
        <w:t>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批</w:t>
      </w:r>
      <w:r>
        <w:rPr>
          <w:rFonts w:hint="eastAsia" w:ascii="仿宋_GB2312" w:hAnsi="仿宋_GB2312" w:eastAsia="仿宋_GB2312" w:cs="仿宋_GB2312"/>
          <w:sz w:val="32"/>
          <w:szCs w:val="32"/>
        </w:rPr>
        <w:t>的《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英德市城乡一体化项目-东华镇及桥头镇园区基础设施改造（一期）工程建设项目</w:t>
      </w:r>
      <w:r>
        <w:rPr>
          <w:rFonts w:hint="eastAsia" w:ascii="仿宋_GB2312" w:hAnsi="仿宋_GB2312" w:eastAsia="仿宋_GB2312" w:cs="仿宋_GB2312"/>
          <w:sz w:val="32"/>
          <w:szCs w:val="32"/>
        </w:rPr>
        <w:t>环境影响报告表》(以下简称“报告表”)及相关材料收悉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经研究，批复如下：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napToGrid/>
        <w:spacing w:before="0" w:beforeLines="0" w:after="0" w:afterLines="0" w:line="560" w:lineRule="exact"/>
        <w:ind w:left="0" w:leftChars="0" w:right="0" w:rightChars="0" w:firstLine="594" w:firstLineChars="200"/>
        <w:textAlignment w:val="auto"/>
        <w:outlineLvl w:val="9"/>
        <w:rPr>
          <w:rFonts w:hint="eastAsia" w:ascii="仿宋_GB2312" w:hAnsi="仿宋_GB2312" w:eastAsia="仿宋_GB2312" w:cs="仿宋_GB2312"/>
          <w:spacing w:val="-5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5"/>
          <w:sz w:val="32"/>
          <w:szCs w:val="32"/>
          <w:lang w:val="en-US" w:eastAsia="zh-CN"/>
        </w:rPr>
        <w:t>英德市城乡一体化项目-东华镇及桥头镇园区基础设施改造（一期）工程建设项目，</w:t>
      </w:r>
      <w:r>
        <w:rPr>
          <w:rFonts w:hint="eastAsia" w:ascii="仿宋_GB2312" w:hAnsi="仿宋_GB2312" w:eastAsia="仿宋_GB2312" w:cs="仿宋_GB2312"/>
          <w:spacing w:val="-5"/>
          <w:sz w:val="32"/>
          <w:szCs w:val="32"/>
          <w:lang w:eastAsia="zh-CN"/>
        </w:rPr>
        <w:t>位于</w:t>
      </w:r>
      <w:bookmarkStart w:id="2" w:name="_GoBack"/>
      <w:r>
        <w:rPr>
          <w:rFonts w:hint="eastAsia" w:ascii="仿宋_GB2312" w:hAnsi="仿宋_GB2312" w:eastAsia="仿宋_GB2312" w:cs="仿宋_GB2312"/>
          <w:spacing w:val="-5"/>
          <w:sz w:val="32"/>
          <w:szCs w:val="32"/>
          <w:lang w:val="en-US" w:eastAsia="zh-CN"/>
        </w:rPr>
        <w:t>英德市清远华侨工业园内</w:t>
      </w:r>
      <w:bookmarkEnd w:id="2"/>
      <w:r>
        <w:rPr>
          <w:rFonts w:hint="eastAsia" w:ascii="仿宋_GB2312" w:hAnsi="仿宋_GB2312" w:eastAsia="仿宋_GB2312" w:cs="仿宋_GB2312"/>
          <w:spacing w:val="-5"/>
          <w:sz w:val="32"/>
          <w:szCs w:val="32"/>
          <w:lang w:val="en-US" w:eastAsia="zh-CN"/>
        </w:rPr>
        <w:t>，建设内容四部分：（1）东华镇污水处理厂雨污管网收集工程，该部分总长约为4.7公里。工程中心点经纬度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  <w:t>24°14'34.00"N</w:t>
      </w:r>
      <w:r>
        <w:rPr>
          <w:rFonts w:hint="eastAsia" w:ascii="仿宋_GB2312" w:hAnsi="仿宋_GB2312" w:eastAsia="仿宋_GB2312" w:cs="仿宋_GB2312"/>
          <w:spacing w:val="-5"/>
          <w:sz w:val="32"/>
          <w:szCs w:val="32"/>
          <w:lang w:val="en-US" w:eastAsia="zh-CN"/>
        </w:rPr>
        <w:t>；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  <w:t>113°40'15.30"E</w:t>
      </w:r>
      <w:r>
        <w:rPr>
          <w:rFonts w:hint="eastAsia" w:ascii="仿宋_GB2312" w:hAnsi="仿宋_GB2312" w:eastAsia="仿宋_GB2312" w:cs="仿宋_GB2312"/>
          <w:spacing w:val="-5"/>
          <w:sz w:val="32"/>
          <w:szCs w:val="32"/>
          <w:lang w:val="en-US" w:eastAsia="zh-CN"/>
        </w:rPr>
        <w:t>；（2）东华镇及桥头镇园区供水管网工程，给水主管长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  <w:t>9817</w:t>
      </w:r>
      <w:r>
        <w:rPr>
          <w:rFonts w:hint="eastAsia" w:ascii="仿宋_GB2312" w:hAnsi="仿宋_GB2312" w:eastAsia="仿宋_GB2312" w:cs="仿宋_GB2312"/>
          <w:spacing w:val="-5"/>
          <w:sz w:val="32"/>
          <w:szCs w:val="32"/>
          <w:lang w:val="en-US" w:eastAsia="zh-CN"/>
        </w:rPr>
        <w:t>米，工程中心点经纬度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  <w:t>24°14'57.78"N</w:t>
      </w:r>
      <w:r>
        <w:rPr>
          <w:rFonts w:hint="eastAsia" w:ascii="仿宋_GB2312" w:hAnsi="仿宋_GB2312" w:eastAsia="仿宋_GB2312" w:cs="仿宋_GB2312"/>
          <w:spacing w:val="-5"/>
          <w:sz w:val="32"/>
          <w:szCs w:val="32"/>
          <w:lang w:val="en-US" w:eastAsia="zh-CN"/>
        </w:rPr>
        <w:t>；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  <w:t>113°44'34.71"E</w:t>
      </w:r>
      <w:r>
        <w:rPr>
          <w:rFonts w:hint="eastAsia" w:ascii="仿宋_GB2312" w:hAnsi="仿宋_GB2312" w:eastAsia="仿宋_GB2312" w:cs="仿宋_GB2312"/>
          <w:spacing w:val="-5"/>
          <w:sz w:val="32"/>
          <w:szCs w:val="32"/>
          <w:lang w:val="en-US" w:eastAsia="zh-CN"/>
        </w:rPr>
        <w:t>；（3）东华镇新材料基地污水泵站排水系统改造提升工程，工程中心点经纬度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  <w:t>24°11'27.13"N</w:t>
      </w:r>
      <w:r>
        <w:rPr>
          <w:rFonts w:hint="eastAsia" w:ascii="仿宋_GB2312" w:hAnsi="仿宋_GB2312" w:eastAsia="仿宋_GB2312" w:cs="仿宋_GB2312"/>
          <w:spacing w:val="-5"/>
          <w:sz w:val="32"/>
          <w:szCs w:val="32"/>
          <w:lang w:val="en-US" w:eastAsia="zh-CN"/>
        </w:rPr>
        <w:t>；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  <w:t>113°39'57.72"E</w:t>
      </w:r>
      <w:r>
        <w:rPr>
          <w:rFonts w:hint="eastAsia" w:ascii="仿宋_GB2312" w:hAnsi="仿宋_GB2312" w:eastAsia="仿宋_GB2312" w:cs="仿宋_GB2312"/>
          <w:spacing w:val="-5"/>
          <w:sz w:val="32"/>
          <w:szCs w:val="32"/>
          <w:lang w:val="en-US" w:eastAsia="zh-CN"/>
        </w:rPr>
        <w:t>；（4）东华镇新材料基地二期基础设施改造提升工程，工程中心点：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  <w:t>24°11'20.37"N</w:t>
      </w:r>
      <w:r>
        <w:rPr>
          <w:rFonts w:hint="eastAsia" w:ascii="仿宋_GB2312" w:hAnsi="仿宋_GB2312" w:eastAsia="仿宋_GB2312" w:cs="仿宋_GB2312"/>
          <w:spacing w:val="-5"/>
          <w:sz w:val="32"/>
          <w:szCs w:val="32"/>
          <w:lang w:val="en-US" w:eastAsia="zh-CN"/>
        </w:rPr>
        <w:t>；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  <w:t>113°39'12.67"E</w:t>
      </w:r>
      <w:r>
        <w:rPr>
          <w:rFonts w:hint="eastAsia" w:ascii="仿宋_GB2312" w:hAnsi="仿宋_GB2312" w:eastAsia="仿宋_GB2312" w:cs="仿宋_GB2312"/>
          <w:spacing w:val="-5"/>
          <w:sz w:val="32"/>
          <w:szCs w:val="32"/>
          <w:lang w:val="en-US" w:eastAsia="zh-CN"/>
        </w:rPr>
        <w:t>。项目总投资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  <w:t>9931.65</w:t>
      </w:r>
      <w:r>
        <w:rPr>
          <w:rFonts w:hint="eastAsia" w:ascii="仿宋_GB2312" w:hAnsi="仿宋_GB2312" w:eastAsia="仿宋_GB2312" w:cs="仿宋_GB2312"/>
          <w:spacing w:val="-5"/>
          <w:sz w:val="32"/>
          <w:szCs w:val="32"/>
          <w:lang w:val="en-US" w:eastAsia="zh-CN"/>
        </w:rPr>
        <w:t>万元，其中环保投资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  <w:t>100</w:t>
      </w:r>
      <w:r>
        <w:rPr>
          <w:rFonts w:hint="eastAsia" w:ascii="仿宋_GB2312" w:hAnsi="仿宋_GB2312" w:eastAsia="仿宋_GB2312" w:cs="仿宋_GB2312"/>
          <w:spacing w:val="-5"/>
          <w:sz w:val="32"/>
          <w:szCs w:val="32"/>
          <w:lang w:val="en-US" w:eastAsia="zh-CN"/>
        </w:rPr>
        <w:t>万元，工程永久性占地面积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  <w:t>2129.5</w:t>
      </w:r>
      <w:r>
        <w:rPr>
          <w:rFonts w:hint="eastAsia" w:ascii="仿宋_GB2312" w:hAnsi="仿宋_GB2312" w:eastAsia="仿宋_GB2312" w:cs="仿宋_GB2312"/>
          <w:spacing w:val="-5"/>
          <w:sz w:val="32"/>
          <w:szCs w:val="32"/>
          <w:lang w:val="en-US" w:eastAsia="zh-CN"/>
        </w:rPr>
        <w:t>平方米。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614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二、根据报告表评价结论，在全面落实报告表提出的各项污染防治和环境风险防范措施,并确保污染物排放稳定达标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且</w:t>
      </w:r>
      <w:r>
        <w:rPr>
          <w:rFonts w:hint="eastAsia" w:ascii="仿宋_GB2312" w:hAnsi="仿宋_GB2312" w:eastAsia="仿宋_GB2312" w:cs="仿宋_GB2312"/>
          <w:sz w:val="32"/>
          <w:szCs w:val="32"/>
        </w:rPr>
        <w:t>符合总量控制要求的前提下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,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按照</w:t>
      </w:r>
      <w:r>
        <w:rPr>
          <w:rFonts w:hint="eastAsia" w:ascii="仿宋_GB2312" w:hAnsi="仿宋_GB2312" w:eastAsia="仿宋_GB2312" w:cs="仿宋_GB2312"/>
          <w:sz w:val="32"/>
          <w:szCs w:val="32"/>
        </w:rPr>
        <w:t>报告表所列性质、规模、地点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、采用的生产工艺和防治污染、防止生态破坏的措施进行建设，从环境保护角度可行。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项目建设和运营中还应重点做好以下工作：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snapToGrid/>
        <w:spacing w:before="0" w:beforeLines="0" w:after="0" w:afterLines="0" w:line="560" w:lineRule="exact"/>
        <w:ind w:left="0" w:leftChars="0" w:right="0" w:rightChars="0" w:firstLine="614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加强施工期环境管理，防止工程施工造成环境污染或生态破坏。合理安排施工时间，施工噪声排放执行《建筑施工场界环境噪声排放标准》</w:t>
      </w:r>
      <w:r>
        <w:rPr>
          <w:rFonts w:hint="eastAsia" w:ascii="仿宋_GB2312" w:hAnsi="仿宋_GB2312" w:eastAsia="仿宋_GB2312" w:cs="仿宋_GB2312"/>
          <w:spacing w:val="-20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pacing w:val="-20"/>
          <w:sz w:val="32"/>
          <w:szCs w:val="32"/>
          <w:lang w:val="en-US" w:eastAsia="zh-CN"/>
        </w:rPr>
        <w:t>GB12523－2011</w:t>
      </w:r>
      <w:r>
        <w:rPr>
          <w:rFonts w:hint="eastAsia" w:ascii="仿宋_GB2312" w:hAnsi="仿宋_GB2312" w:eastAsia="仿宋_GB2312" w:cs="仿宋_GB2312"/>
          <w:spacing w:val="-20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，颗粒物无组织排放执行广东省地方标准《大气污染物排放限值》</w:t>
      </w:r>
      <w:r>
        <w:rPr>
          <w:rFonts w:hint="eastAsia" w:ascii="仿宋_GB2312" w:hAnsi="仿宋_GB2312" w:eastAsia="仿宋_GB2312" w:cs="仿宋_GB2312"/>
          <w:spacing w:val="-20"/>
          <w:sz w:val="32"/>
          <w:szCs w:val="32"/>
          <w:lang w:eastAsia="zh-CN"/>
        </w:rPr>
        <w:t>（DB44/27-2001）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第二时段无组织排放监控点浓度限值；施工废水经隔油隔渣+沉淀池处理后回用于施工场地洒水降尘或机械设备、车辆冲洗，不外排；管道检漏闭水检查结束后，试验废水经水泵抽入沉淀池，处理后用作洒水降尘用水全部不外排；施工生活污水经三级化粪池处理后用作农业施肥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snapToGrid/>
        <w:spacing w:before="0" w:beforeLines="0" w:after="0" w:afterLines="0" w:line="560" w:lineRule="exact"/>
        <w:ind w:left="0" w:leftChars="0" w:right="0" w:rightChars="0" w:firstLine="614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采用先进的生产工艺和设备，采取有效的污染防治措施，按照“节能、降耗、增效”的原则，确保项目达到国内清洁生产先进水平要求。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beforeLines="0" w:after="0" w:afterLines="0" w:line="560" w:lineRule="exact"/>
        <w:ind w:left="8" w:leftChars="0" w:right="0" w:rightChars="0" w:firstLine="602" w:firstLineChars="196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（三）</w:t>
      </w:r>
      <w:bookmarkStart w:id="1" w:name="OLE_LINK3"/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污水泵站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场界臭气浓度、氨和硫化氢无组织排放《恶臭污染物排放标准》</w:t>
      </w:r>
      <w:r>
        <w:rPr>
          <w:rFonts w:hint="eastAsia" w:ascii="仿宋_GB2312" w:hAnsi="仿宋_GB2312" w:eastAsia="仿宋_GB2312" w:cs="仿宋_GB2312"/>
          <w:color w:val="auto"/>
          <w:spacing w:val="-20"/>
          <w:sz w:val="32"/>
          <w:szCs w:val="32"/>
          <w:lang w:val="en-US" w:eastAsia="zh-CN"/>
        </w:rPr>
        <w:t>（GB14554-1993）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0" w:beforeLines="0" w:after="0" w:afterLines="0" w:line="530" w:lineRule="exact"/>
        <w:ind w:left="8" w:leftChars="0" w:right="0" w:rightChars="0" w:firstLine="602" w:firstLineChars="196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（四）强化环境风险防范和应急措施。完善并落实风险防范措施和应急预案，并与当地政府及相关部门应急预案相衔接。加强营运期污水管网防渗管理，对管道底部和两侧均铺设人工合成材料防渗层，并定期对管网进行巡查检漏，做好管网的日常护养和维修工作，一旦出现事故，及时采取措施，防止造成环境污染，确保环境安全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before="0" w:beforeLines="0" w:after="0" w:afterLines="0" w:line="560" w:lineRule="exact"/>
        <w:ind w:left="0" w:leftChars="0" w:right="0" w:rightChars="0" w:firstLine="614" w:firstLineChars="200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（五）在项目施工和运营过程中，建立畅通的公众参与平台，及时解决公众合理的环境诉求。定期发布企业环境信息，并主动接受社会监督。</w:t>
      </w:r>
    </w:p>
    <w:bookmarkEnd w:id="1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before="0" w:beforeLines="0" w:after="0" w:afterLines="0" w:line="560" w:lineRule="exact"/>
        <w:ind w:left="0" w:leftChars="0" w:right="0" w:rightChars="0" w:firstLine="630" w:firstLineChars="205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三、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环境影响报告表经批准后，该项目的性质、规模、地点、生产工艺和环境保护措施发生重大变动的，建设单位应当重新申报并经我局审批（核）同意后方可实施。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before="0" w:beforeLines="0" w:after="0" w:afterLines="0" w:line="560" w:lineRule="exact"/>
        <w:ind w:left="0" w:leftChars="0" w:right="0" w:rightChars="0" w:firstLine="630" w:firstLineChars="205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四、项目建设应严格执行配套建设的环境保护设施与主体工程同时设计、同时施工、同时投产使用的环境保护“三同时”制度。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="0" w:beforeLines="0" w:after="0" w:afterLines="0" w:line="560" w:lineRule="exact"/>
        <w:ind w:right="0" w:rightChars="0" w:firstLine="614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五、本批复仅对项目建设的环保要求作出规定，你公司需要依法办理其他法律法规规定的手续，确保依法依规进行建设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="0" w:beforeLines="0" w:after="0" w:afterLines="0" w:line="560" w:lineRule="exact"/>
        <w:ind w:right="0" w:rightChars="0" w:firstLine="614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="0" w:beforeLines="0" w:after="0" w:afterLines="0" w:line="560" w:lineRule="exact"/>
        <w:ind w:right="0" w:rightChars="0" w:firstLine="614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="0" w:beforeLines="0" w:after="0" w:afterLines="0" w:line="560" w:lineRule="exact"/>
        <w:ind w:right="0" w:rightChars="0" w:firstLine="614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="0" w:beforeLines="0" w:after="0" w:afterLines="0" w:line="560" w:lineRule="exact"/>
        <w:ind w:left="0" w:leftChars="0" w:right="0" w:rightChars="0" w:firstLine="614" w:firstLineChars="200"/>
        <w:textAlignment w:val="auto"/>
        <w:rPr>
          <w:rFonts w:hint="eastAsia" w:ascii="仿宋_GB2312" w:eastAsia="仿宋_GB2312"/>
          <w:sz w:val="32"/>
          <w:szCs w:val="30"/>
          <w:lang w:eastAsia="zh-CN"/>
        </w:rPr>
      </w:pPr>
      <w:r>
        <w:rPr>
          <w:rFonts w:hint="eastAsia" w:ascii="仿宋_GB2312" w:eastAsia="仿宋_GB2312"/>
          <w:sz w:val="32"/>
          <w:szCs w:val="30"/>
          <w:lang w:val="en-US" w:eastAsia="zh-CN"/>
        </w:rPr>
        <w:t xml:space="preserve">                          </w:t>
      </w:r>
      <w:r>
        <w:rPr>
          <w:rFonts w:hint="eastAsia" w:ascii="仿宋_GB2312" w:eastAsia="仿宋_GB2312"/>
          <w:sz w:val="32"/>
          <w:szCs w:val="30"/>
          <w:lang w:eastAsia="zh-CN"/>
        </w:rPr>
        <w:t>清远市生态环境局英德分局</w:t>
      </w:r>
    </w:p>
    <w:tbl>
      <w:tblPr>
        <w:tblStyle w:val="5"/>
        <w:tblpPr w:leftFromText="180" w:rightFromText="180" w:vertAnchor="text" w:horzAnchor="page" w:tblpX="1316" w:tblpY="2439"/>
        <w:tblOverlap w:val="never"/>
        <w:tblW w:w="9576" w:type="dxa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76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957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560" w:lineRule="exact"/>
              <w:ind w:left="921" w:leftChars="0" w:right="0" w:rightChars="0" w:hanging="921" w:hangingChars="300"/>
              <w:jc w:val="both"/>
              <w:textAlignment w:val="auto"/>
              <w:outlineLvl w:val="9"/>
              <w:rPr>
                <w:rFonts w:hint="eastAsia" w:ascii="仿宋_GB2312" w:eastAsia="仿宋_GB2312"/>
                <w:sz w:val="32"/>
                <w:szCs w:val="30"/>
              </w:rPr>
            </w:pPr>
            <w:r>
              <w:rPr>
                <w:rFonts w:hint="eastAsia" w:ascii="仿宋_GB2312" w:eastAsia="仿宋_GB2312"/>
                <w:sz w:val="32"/>
                <w:szCs w:val="30"/>
              </w:rPr>
              <w:t>抄送：</w:t>
            </w:r>
            <w:r>
              <w:rPr>
                <w:rFonts w:hint="eastAsia" w:ascii="仿宋_GB2312" w:hAnsi="Times New Roman" w:eastAsia="仿宋_GB2312" w:cs="Times New Roman"/>
                <w:sz w:val="32"/>
                <w:szCs w:val="30"/>
                <w:lang w:val="en-US" w:eastAsia="zh-CN"/>
              </w:rPr>
              <w:t>东华镇人民政府、桥头镇人民政府，清华园管委会，市发改局、工信局、应急管理局，深圳鹏达信能源环保科技有限公司。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957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before="0" w:beforeLines="0" w:after="0" w:afterLines="0" w:line="560" w:lineRule="exact"/>
              <w:ind w:right="0" w:rightChars="0"/>
              <w:textAlignment w:val="auto"/>
              <w:outlineLvl w:val="9"/>
              <w:rPr>
                <w:rFonts w:hint="eastAsia" w:ascii="仿宋_GB2312" w:eastAsia="仿宋_GB2312"/>
                <w:sz w:val="32"/>
                <w:szCs w:val="30"/>
              </w:rPr>
            </w:pPr>
            <w:r>
              <w:rPr>
                <w:rFonts w:hint="eastAsia" w:ascii="仿宋_GB2312" w:eastAsia="仿宋_GB2312"/>
                <w:sz w:val="32"/>
                <w:szCs w:val="30"/>
                <w:lang w:eastAsia="zh-CN"/>
              </w:rPr>
              <w:t>清远市生态环境局英德分局</w:t>
            </w:r>
            <w:r>
              <w:rPr>
                <w:rFonts w:hint="eastAsia" w:ascii="仿宋_GB2312" w:eastAsia="仿宋_GB2312"/>
                <w:sz w:val="32"/>
                <w:szCs w:val="30"/>
              </w:rPr>
              <w:t xml:space="preserve">                 20</w:t>
            </w:r>
            <w:r>
              <w:rPr>
                <w:rFonts w:hint="eastAsia" w:ascii="仿宋_GB2312" w:eastAsia="仿宋_GB2312"/>
                <w:sz w:val="32"/>
                <w:szCs w:val="30"/>
                <w:lang w:val="en-US" w:eastAsia="zh-CN"/>
              </w:rPr>
              <w:t>20</w:t>
            </w:r>
            <w:r>
              <w:rPr>
                <w:rFonts w:hint="eastAsia" w:ascii="仿宋_GB2312" w:eastAsia="仿宋_GB2312"/>
                <w:sz w:val="32"/>
                <w:szCs w:val="30"/>
              </w:rPr>
              <w:t>年</w:t>
            </w:r>
            <w:r>
              <w:rPr>
                <w:rFonts w:hint="eastAsia" w:ascii="仿宋_GB2312" w:eastAsia="仿宋_GB2312"/>
                <w:sz w:val="32"/>
                <w:szCs w:val="30"/>
                <w:lang w:val="en-US" w:eastAsia="zh-CN"/>
              </w:rPr>
              <w:t>5</w:t>
            </w:r>
            <w:r>
              <w:rPr>
                <w:rFonts w:hint="eastAsia" w:ascii="仿宋_GB2312" w:eastAsia="仿宋_GB2312"/>
                <w:sz w:val="32"/>
                <w:szCs w:val="30"/>
              </w:rPr>
              <w:t>月</w:t>
            </w:r>
            <w:r>
              <w:rPr>
                <w:rFonts w:hint="eastAsia" w:ascii="仿宋_GB2312" w:eastAsia="仿宋_GB2312"/>
                <w:sz w:val="32"/>
                <w:szCs w:val="30"/>
                <w:lang w:val="en-US" w:eastAsia="zh-CN"/>
              </w:rPr>
              <w:t>19</w:t>
            </w:r>
            <w:r>
              <w:rPr>
                <w:rFonts w:hint="eastAsia" w:ascii="仿宋_GB2312" w:eastAsia="仿宋_GB2312"/>
                <w:sz w:val="32"/>
                <w:szCs w:val="30"/>
              </w:rPr>
              <w:t>日印发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957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before="0" w:beforeLines="0" w:after="0" w:afterLines="0" w:line="560" w:lineRule="exact"/>
              <w:ind w:right="0" w:rightChars="0"/>
              <w:jc w:val="right"/>
              <w:textAlignment w:val="auto"/>
              <w:outlineLvl w:val="9"/>
              <w:rPr>
                <w:rFonts w:hint="eastAsia" w:ascii="仿宋_GB2312" w:eastAsia="仿宋_GB2312"/>
                <w:sz w:val="32"/>
                <w:szCs w:val="30"/>
                <w:lang w:eastAsia="zh-CN"/>
              </w:rPr>
            </w:pPr>
            <w:r>
              <w:rPr>
                <w:rFonts w:hint="eastAsia" w:ascii="仿宋_GB2312" w:eastAsia="仿宋_GB2312"/>
                <w:sz w:val="32"/>
                <w:szCs w:val="30"/>
                <w:lang w:eastAsia="zh-CN"/>
              </w:rPr>
              <w:t>共印</w:t>
            </w:r>
            <w:r>
              <w:rPr>
                <w:rFonts w:hint="eastAsia" w:ascii="仿宋_GB2312" w:eastAsia="仿宋_GB2312"/>
                <w:sz w:val="32"/>
                <w:szCs w:val="30"/>
                <w:lang w:val="en-US" w:eastAsia="zh-CN"/>
              </w:rPr>
              <w:t>6份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before="0" w:beforeLines="0" w:after="0" w:afterLines="0" w:line="640" w:lineRule="atLeast"/>
        <w:ind w:right="0" w:rightChars="0"/>
        <w:textAlignment w:val="auto"/>
        <w:outlineLvl w:val="9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2020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19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="0" w:beforeLines="0" w:after="0" w:afterLines="0" w:line="560" w:lineRule="exact"/>
        <w:ind w:left="0" w:leftChars="0" w:right="0" w:rightChars="0" w:firstLine="614" w:firstLineChars="200"/>
        <w:textAlignment w:val="auto"/>
        <w:rPr>
          <w:rFonts w:hint="eastAsia" w:ascii="仿宋_GB2312" w:eastAsia="仿宋_GB2312"/>
          <w:sz w:val="32"/>
          <w:szCs w:val="30"/>
          <w:lang w:val="en-US" w:eastAsia="zh-CN"/>
        </w:rPr>
      </w:pPr>
    </w:p>
    <w:p/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2211" w:right="1474" w:bottom="1871" w:left="1587" w:header="851" w:footer="992" w:gutter="0"/>
      <w:pgNumType w:fmt="numberInDash"/>
      <w:cols w:space="720" w:num="1"/>
      <w:rtlGutter w:val="0"/>
      <w:docGrid w:type="linesAndChars" w:linePitch="296" w:charSpace="-27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..">
    <w:altName w:val="Times New Roman"/>
    <w:panose1 w:val="00000600040101010101"/>
    <w:charset w:val="01"/>
    <w:family w:val="roman"/>
    <w:pitch w:val="default"/>
    <w:sig w:usb0="00000000" w:usb1="00000000" w:usb2="00000000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Align="top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after="0" w:afterLines="0"/>
      <w:rPr>
        <w:rFonts w:eastAsia="仿宋_GB2312"/>
        <w:sz w:val="24"/>
      </w:rPr>
    </w:pPr>
    <w:r>
      <w:rPr>
        <w:rFonts w:hint="eastAsia" w:ascii="仿宋" w:hAnsi="仿宋" w:eastAsia="仿宋"/>
        <w:sz w:val="28"/>
      </w:rPr>
      <w:fldChar w:fldCharType="begin"/>
    </w:r>
    <w:r>
      <w:rPr>
        <w:rStyle w:val="7"/>
        <w:rFonts w:hint="eastAsia" w:ascii="仿宋" w:hAnsi="仿宋" w:eastAsia="仿宋"/>
        <w:sz w:val="28"/>
      </w:rPr>
      <w:instrText xml:space="preserve"> PAGE  </w:instrText>
    </w:r>
    <w:r>
      <w:rPr>
        <w:rFonts w:hint="eastAsia" w:ascii="仿宋" w:hAnsi="仿宋" w:eastAsia="仿宋"/>
        <w:sz w:val="28"/>
      </w:rPr>
      <w:fldChar w:fldCharType="separate"/>
    </w:r>
    <w:r>
      <w:rPr>
        <w:rStyle w:val="7"/>
        <w:rFonts w:hint="eastAsia" w:ascii="仿宋" w:hAnsi="仿宋" w:eastAsia="仿宋"/>
        <w:sz w:val="28"/>
      </w:rPr>
      <w:t>- 1 -</w:t>
    </w:r>
    <w:r>
      <w:rPr>
        <w:rFonts w:hint="eastAsia" w:ascii="仿宋" w:hAnsi="仿宋" w:eastAsia="仿宋"/>
        <w:sz w:val="28"/>
      </w:rPr>
      <w:fldChar w:fldCharType="end"/>
    </w:r>
  </w:p>
  <w:p>
    <w:pPr>
      <w:pStyle w:val="3"/>
      <w:ind w:right="360" w:firstLine="360" w:firstLineChars="0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/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zql5uc8A&#10;AAAFAQAADwAAAAAAAAABACAAAAAiAAAAZHJzL2Rvd25yZXYueG1sUEsBAhQAFAAAAAgAh07iQNzT&#10;xD62AQAAVAMAAA4AAAAAAAAAAQAgAAAAHgEAAGRycy9lMm9Eb2MueG1sUEsFBgAAAAAGAAYAWQEA&#10;AEY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/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separate"/>
    </w:r>
    <w:r>
      <w:rPr>
        <w:rStyle w:val="7"/>
      </w:rPr>
      <w:t>- 3 -</w:t>
    </w:r>
    <w:r>
      <w:fldChar w:fldCharType="end"/>
    </w:r>
  </w:p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A"/>
    <w:multiLevelType w:val="multilevel"/>
    <w:tmpl w:val="0000000A"/>
    <w:lvl w:ilvl="0" w:tentative="0">
      <w:start w:val="1"/>
      <w:numFmt w:val="chineseCounting"/>
      <w:suff w:val="nothing"/>
      <w:lvlText w:val="（%1）"/>
      <w:lvlJc w:val="left"/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abstractNum w:abstractNumId="1">
    <w:nsid w:val="0000000C"/>
    <w:multiLevelType w:val="multilevel"/>
    <w:tmpl w:val="0000000C"/>
    <w:lvl w:ilvl="0" w:tentative="0">
      <w:start w:val="1"/>
      <w:numFmt w:val="chineseCounting"/>
      <w:suff w:val="nothing"/>
      <w:lvlText w:val="%1、"/>
      <w:lvlJc w:val="left"/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attachedTemplate r:id="rId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316392"/>
    <w:rsid w:val="14207959"/>
    <w:rsid w:val="38D06809"/>
    <w:rsid w:val="55D16EB9"/>
    <w:rsid w:val="578060C1"/>
    <w:rsid w:val="6D535020"/>
    <w:rsid w:val="6F316392"/>
    <w:rsid w:val="6FBA2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.." w:hAnsi="Times New Roman" w:eastAsia=".." w:cs=".."/>
      <w:color w:val="000000"/>
      <w:sz w:val="24"/>
      <w:szCs w:val="24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  <w:style w:type="paragraph" w:customStyle="1" w:styleId="8">
    <w:name w:val="报告表 段"/>
    <w:basedOn w:val="1"/>
    <w:qFormat/>
    <w:uiPriority w:val="0"/>
    <w:pPr>
      <w:snapToGrid w:val="0"/>
      <w:spacing w:line="360" w:lineRule="auto"/>
      <w:ind w:firstLine="505"/>
    </w:pPr>
    <w:rPr>
      <w:rFonts w:ascii="宋体" w:cs="宋体"/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novo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2020-05-19T02:55:00Z</dcterms:created>
  <dc:creator>lenovo</dc:creator>
  <cp:lastModifiedBy>温工</cp:lastModifiedBy>
  <cp:lastPrinted>2020-05-19T03:10:00Z</cp:lastPrinted>
  <dcterms:modified xsi:type="dcterms:W3CDTF">2020-05-20T07:05:14Z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