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英环审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pacing w:val="20"/>
          <w:sz w:val="44"/>
          <w:szCs w:val="44"/>
        </w:rPr>
        <w:t>关于</w:t>
      </w:r>
      <w:bookmarkStart w:id="0" w:name="OLE_LINK5"/>
      <w:r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  <w:t>英德市德益建材有限公司新建年产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  <w:t>100万吨机制砂建设</w:t>
      </w:r>
      <w:r>
        <w:rPr>
          <w:rFonts w:hint="eastAsia" w:ascii="方正小标宋_GBK" w:hAnsi="方正小标宋_GBK" w:eastAsia="方正小标宋_GBK"/>
          <w:spacing w:val="20"/>
          <w:sz w:val="44"/>
          <w:szCs w:val="44"/>
        </w:rPr>
        <w:t>项目环境影响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  <w:t>报告表</w:t>
      </w:r>
      <w:bookmarkEnd w:id="0"/>
      <w:r>
        <w:rPr>
          <w:rFonts w:hint="eastAsia" w:ascii="方正小标宋_GBK" w:hAnsi="方正小标宋_GBK" w:eastAsia="方正小标宋_GBK"/>
          <w:spacing w:val="20"/>
          <w:sz w:val="44"/>
          <w:szCs w:val="44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英德市德益建材有限公司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ind w:left="0" w:leftChars="0" w:right="0" w:rightChars="0" w:firstLine="602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英德市德益建材有限公司新建年产100万吨机制砂建设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项目环境影响报告表》(以下简称“报告表”)及相关材料收悉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英德市德益建材有限公司新建年产100万吨机制砂建设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英德市英红镇田江石尾塘村（原红星水泥厂）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中心地理坐标为北纬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24.348323°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，东经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113.462346°）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。项目占地面积56000平方米，建筑面积7500平方米，总投资1500万元，其中环保投资40万元，计划年产机制砂100万吨。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二、根据报告表评价结论，在全面落实报告表提出的各项污染防治和环境风险防范措施,并确保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污染物稳定达标排放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符合总量控制要求的前提下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报告表所列性质、规模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，采用的生产工艺和防治污染、防止生态破坏的措施进行建设，从环境保护角度可行。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项目建设和运营中还应重点做好以下工作：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采用先进的生产工艺和设备，采取有效的污染防治措施按照“节能、降耗、增效”的原则，确保项目达到国内清洁生产先进水平要求。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（二）严格落实水污染防治措施。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按照“清污分流、雨污分流、分质处理、循环用水”的原则，优化设置给排水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和回用水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本项目洗砂废水和初期雨水一起经絮凝沉淀处理达到《城市污水再生利用工业用水水质》（GB/T19923-2005）表1工艺与产品用水标准后全部循环使用，车辆冲洗废水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经沉淀处理后回用于项目喷淋用水，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生活污水经三级化粪池预处理达到《农田灌溉水质标准》（GB5084-2005）旱作标准后用作农肥，不外排。供水前，必须与农灌用水方签订用水协议，防止发生环境纠纷。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40" w:lineRule="exact"/>
        <w:ind w:left="0" w:leftChars="0" w:right="0" w:rightChars="0" w:firstLine="608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合理划分防渗区域，并采取严格的防渗措施，防止污染土壤、地下水环境。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40" w:lineRule="exact"/>
        <w:ind w:right="0" w:rightChars="0" w:firstLine="608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（三）严格落实大气污染防治措施。项目食堂油烟废气排放参照执行《饮食业油烟排放标准》（试行）（GB18483-2001）。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60" w:lineRule="exact"/>
        <w:ind w:right="0" w:rightChars="0" w:firstLine="608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按报告表要求完善各项防尘抑尘措施，加强环境监测，确保本项目颗粒物无组织排放达到广东省地方标准《大气污染物排放限值》（DB44/27-2001）第二时段污染物浓度限值规定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严格落实噪声污染防治措施。优先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选用低噪声设备，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并采用有效的隔声降噪措施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确保厂界噪声符合《工业企业厂界环境噪声排放标准》(GB12348-2008)中的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类声功能区排放限值要求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（五）严格落实固体废物分类处置和综合利用要求。项目产生的生活垃圾交环卫部门统一处理。一般工业固废在厂内暂存应分别符合《一般工业固体废物贮存、处置场污染控制标准》（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GB18599-2001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）以及《关于发布〈一般工业固体废物贮存、处置场污染控制标准〉（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GB18599-2001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3项国家污染物控制标准修改单的公告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》（环境保护部公告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2013年第36号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）的要求。</w:t>
      </w:r>
      <w:bookmarkStart w:id="1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不得露天、超量、长期堆存，定期检测沉淀污泥重金属成分，确保安全后可交付综合利用。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在项目施工和运营过程中，建立畅通的公众参与平台，及时解决公众合理的环境诉求。定期发布企业环境信息，并主动接受社会监督。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40" w:lineRule="exact"/>
        <w:ind w:left="0" w:leftChars="0" w:right="0" w:rightChars="0" w:firstLine="624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本报告表经批准后，建设项目的性质、规模、地点、生产工艺或者防治污染、防治生态破坏的措施发生重大变动，须重新报批环境影响评价文件，经我局审批（核）同意后方可实施。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4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四、项目建设应严格执行配套建设的环境保护设施与主体工程同时设计、同时施工、同时投产使用的环境保护“三同时”制度。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40" w:lineRule="exact"/>
        <w:ind w:right="0" w:righ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五、本批复仅是项目建设的环保要求作出规定，项目还须依法办理其他相关手续，确保依法依规进行建设。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40" w:lineRule="exact"/>
        <w:ind w:left="0" w:leftChars="0" w:right="0" w:rightChars="0" w:firstLine="60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0"/>
          <w:lang w:eastAsia="zh-CN"/>
        </w:rPr>
        <w:t>清远市生态环境局英德分局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40" w:lineRule="exact"/>
        <w:ind w:left="0" w:leftChars="0" w:right="0" w:rightChars="0" w:firstLine="1216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364" w:tblpY="5379"/>
        <w:tblOverlap w:val="never"/>
        <w:tblW w:w="957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</w:trPr>
        <w:tc>
          <w:tcPr>
            <w:tcW w:w="95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left="912" w:leftChars="0" w:right="0" w:rightChars="0" w:hanging="912" w:hangingChars="3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抄送：</w:t>
            </w:r>
            <w:r>
              <w:rPr>
                <w:rFonts w:hint="eastAsia" w:ascii="仿宋_GB2312" w:eastAsia="仿宋_GB2312" w:cs="Times New Roman"/>
                <w:sz w:val="32"/>
                <w:szCs w:val="30"/>
                <w:lang w:val="en-US" w:eastAsia="zh-CN"/>
              </w:rPr>
              <w:t>英红镇政府，市发改局、自然资源局、工信局、住建局、林业局，中海联合（深圳）能源环保科技有限公司。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640" w:lineRule="exact"/>
              <w:ind w:right="0" w:rightChars="0"/>
              <w:textAlignment w:val="auto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清远市生态环境局英德分局</w:t>
            </w: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20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0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0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0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640" w:lineRule="exact"/>
              <w:ind w:right="0" w:rightChars="0"/>
              <w:jc w:val="right"/>
              <w:textAlignment w:val="auto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共印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6份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474" w:bottom="1871" w:left="1587" w:header="851" w:footer="992" w:gutter="0"/>
      <w:pgNumType w:fmt="numberInDash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.">
    <w:altName w:val="Times New Roman"/>
    <w:panose1 w:val="00000600040101010101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eastAsia="仿宋_GB2312"/>
        <w:sz w:val="24"/>
      </w:rPr>
    </w:pPr>
    <w:r>
      <w:rPr>
        <w:rFonts w:hint="eastAsia" w:ascii="仿宋" w:hAnsi="仿宋" w:eastAsia="仿宋"/>
        <w:sz w:val="28"/>
      </w:rPr>
      <w:fldChar w:fldCharType="begin"/>
    </w:r>
    <w:r>
      <w:rPr>
        <w:rStyle w:val="7"/>
        <w:rFonts w:hint="eastAsia" w:ascii="仿宋" w:hAnsi="仿宋" w:eastAsia="仿宋"/>
        <w:sz w:val="28"/>
      </w:rPr>
      <w:instrText xml:space="preserve"> PAGE  </w:instrText>
    </w:r>
    <w:r>
      <w:rPr>
        <w:rFonts w:hint="eastAsia" w:ascii="仿宋" w:hAnsi="仿宋" w:eastAsia="仿宋"/>
        <w:sz w:val="28"/>
      </w:rPr>
      <w:fldChar w:fldCharType="separate"/>
    </w:r>
    <w:r>
      <w:rPr>
        <w:rStyle w:val="7"/>
        <w:rFonts w:hint="eastAsia" w:ascii="仿宋" w:hAnsi="仿宋" w:eastAsia="仿宋"/>
        <w:sz w:val="28"/>
      </w:rPr>
      <w:t>- 1 -</w:t>
    </w:r>
    <w:r>
      <w:rPr>
        <w:rFonts w:hint="eastAsia" w:ascii="仿宋" w:hAnsi="仿宋" w:eastAsia="仿宋"/>
        <w:sz w:val="28"/>
      </w:rPr>
      <w:fldChar w:fldCharType="end"/>
    </w:r>
  </w:p>
  <w:p>
    <w:pPr>
      <w:pStyle w:val="4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（%1）"/>
      <w:lvlJc w:val="left"/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15AA"/>
    <w:rsid w:val="35E6417A"/>
    <w:rsid w:val="5CE115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adjustRightInd w:val="0"/>
      <w:snapToGrid w:val="0"/>
      <w:spacing w:line="240" w:lineRule="auto"/>
      <w:jc w:val="left"/>
      <w:outlineLvl w:val="0"/>
    </w:pPr>
    <w:rPr>
      <w:rFonts w:ascii="Calibri" w:hAnsi="Calibri"/>
      <w:b/>
      <w:kern w:val="44"/>
      <w:sz w:val="30"/>
      <w:szCs w:val="22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..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报告表 段"/>
    <w:basedOn w:val="1"/>
    <w:qFormat/>
    <w:uiPriority w:val="0"/>
    <w:pPr>
      <w:snapToGrid w:val="0"/>
      <w:spacing w:line="360" w:lineRule="auto"/>
      <w:ind w:firstLine="505"/>
    </w:pPr>
    <w:rPr>
      <w:rFonts w:asci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2020-05-19T03:12:00Z</dcterms:created>
  <dc:creator>lenovo</dc:creator>
  <cp:lastModifiedBy>lenovo</cp:lastModifiedBy>
  <dcterms:modified xsi:type="dcterms:W3CDTF">2020-05-19T08:40:36Z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