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西牛镇麻竹笋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国家农业产业强镇建设项目细化实施方案（模板）</w:t>
      </w:r>
    </w:p>
    <w:bookmarkEnd w:id="0"/>
    <w:p>
      <w:pPr>
        <w:widowControl/>
        <w:shd w:val="clear" w:color="auto" w:fill="FFFFFF"/>
        <w:wordWrap w:val="0"/>
        <w:spacing w:line="540" w:lineRule="atLeast"/>
        <w:jc w:val="left"/>
        <w:rPr>
          <w:rFonts w:ascii="方正小标宋简体" w:hAnsi="微软雅黑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实施地点：县（市/区）镇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实施企业（盖章）：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项目联系人：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联系电话： 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填制日期：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一、项目基本信息</w:t>
      </w:r>
    </w:p>
    <w:tbl>
      <w:tblPr>
        <w:tblStyle w:val="6"/>
        <w:tblW w:w="85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129"/>
        <w:gridCol w:w="467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项目属性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 xml:space="preserve">新建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 xml:space="preserve">扩建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续建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项目负责人/联系方式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实施企业</w:t>
            </w:r>
          </w:p>
        </w:tc>
        <w:tc>
          <w:tcPr>
            <w:tcW w:w="3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地址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法人代表/联系方式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总投资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其中</w:t>
            </w:r>
          </w:p>
        </w:tc>
        <w:tc>
          <w:tcPr>
            <w:tcW w:w="3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企业自筹资金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申请财政补助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项目建设地点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项目建设时限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3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项目建设内容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（概括至250字内）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项目实施企业责任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ind w:firstLine="640" w:firstLineChars="200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本单位自觉履行项目实施和资金管理办法等有关规定，承诺该项目尚未获得其他各级财政资金扶持，提供的申报材料完整、准确、充分、真实，并为之负责。</w:t>
            </w:r>
          </w:p>
          <w:p>
            <w:pPr>
              <w:widowControl/>
              <w:spacing w:line="500" w:lineRule="exact"/>
              <w:ind w:right="640" w:firstLine="3040" w:firstLineChars="950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 xml:space="preserve">法定代表人（签字）：                                                                     </w:t>
            </w:r>
          </w:p>
          <w:p>
            <w:pPr>
              <w:widowControl/>
              <w:spacing w:line="500" w:lineRule="exact"/>
              <w:ind w:firstLine="4000" w:firstLineChars="1250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 xml:space="preserve">企业（盖章） 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 xml:space="preserve">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镇审核意见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ind w:right="640" w:firstLine="2400" w:firstLineChars="7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主管领导（签字）：</w:t>
            </w:r>
          </w:p>
          <w:p>
            <w:pPr>
              <w:widowControl/>
              <w:spacing w:line="500" w:lineRule="exact"/>
              <w:ind w:right="640" w:firstLine="3040" w:firstLineChars="9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镇政府或主管部门（盖章） </w:t>
            </w:r>
          </w:p>
          <w:p>
            <w:pPr>
              <w:widowControl/>
              <w:spacing w:line="500" w:lineRule="exact"/>
              <w:ind w:right="64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spacing w:line="500" w:lineRule="exact"/>
              <w:ind w:right="640"/>
              <w:jc w:val="right"/>
              <w:rPr>
                <w:rFonts w:ascii="仿宋_GB2312" w:hAnsi="微软雅黑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月   日</w:t>
            </w:r>
          </w:p>
        </w:tc>
      </w:tr>
    </w:tbl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方正小标宋简体" w:hAnsi="黑体" w:eastAsia="方正小标宋简体" w:cs="宋体"/>
          <w:kern w:val="0"/>
          <w:sz w:val="36"/>
          <w:szCs w:val="32"/>
        </w:rPr>
      </w:pPr>
    </w:p>
    <w:p>
      <w:pPr>
        <w:widowControl/>
        <w:wordWrap w:val="0"/>
        <w:spacing w:line="360" w:lineRule="atLeast"/>
        <w:ind w:firstLine="72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方正小标宋简体" w:hAnsi="黑体" w:eastAsia="方正小标宋简体" w:cs="宋体"/>
          <w:kern w:val="0"/>
          <w:sz w:val="36"/>
          <w:szCs w:val="32"/>
        </w:rPr>
        <w:br w:type="page"/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>、实施企业基本情况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三、项目建设的必要性和可行性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项目建设的必要性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项目建设的可行性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四、项目建设的思路和目标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项目建设思路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kern w:val="0"/>
          <w:sz w:val="32"/>
          <w:szCs w:val="32"/>
        </w:rPr>
        <w:t>项目建设目标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五、建设内容及投资规模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（一）具体建设内容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（二）投资计划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sz w:val="28"/>
          <w:szCs w:val="36"/>
        </w:rPr>
      </w:pPr>
      <w:r>
        <w:rPr>
          <w:rFonts w:ascii="Times New Roman" w:hAnsi="Times New Roman" w:eastAsia="仿宋_GB2312" w:cs="Times New Roman"/>
          <w:b/>
          <w:sz w:val="28"/>
          <w:szCs w:val="36"/>
        </w:rPr>
        <w:t>表</w:t>
      </w:r>
      <w:r>
        <w:rPr>
          <w:rFonts w:hint="eastAsia" w:ascii="Times New Roman" w:hAnsi="Times New Roman" w:eastAsia="仿宋_GB2312" w:cs="Times New Roman"/>
          <w:b/>
          <w:sz w:val="28"/>
          <w:szCs w:val="36"/>
        </w:rPr>
        <w:t>1</w:t>
      </w:r>
      <w:r>
        <w:rPr>
          <w:rFonts w:ascii="Times New Roman" w:hAnsi="Times New Roman" w:eastAsia="仿宋_GB2312" w:cs="Times New Roman"/>
          <w:b/>
          <w:sz w:val="28"/>
          <w:szCs w:val="36"/>
        </w:rPr>
        <w:t xml:space="preserve">  建设内容与投资计划表</w:t>
      </w:r>
    </w:p>
    <w:tbl>
      <w:tblPr>
        <w:tblStyle w:val="6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393"/>
        <w:gridCol w:w="658"/>
        <w:gridCol w:w="736"/>
        <w:gridCol w:w="1103"/>
        <w:gridCol w:w="1279"/>
        <w:gridCol w:w="99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86" w:type="pct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具体建设内容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38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资金预算（万元）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实施地点（村）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286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78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总投资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申请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财政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补助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资金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自筹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资金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63" w:type="pct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一、</w:t>
            </w: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4"/>
              </w:rPr>
              <w:t>××××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97" w:type="pct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二、</w:t>
            </w: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4"/>
              </w:rPr>
              <w:t>××××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7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63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wordWrap w:val="0"/>
        <w:spacing w:line="360" w:lineRule="atLeas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</w:t>
      </w:r>
      <w:r>
        <w:rPr>
          <w:rFonts w:hint="eastAsia" w:ascii="黑体" w:hAnsi="黑体" w:eastAsia="黑体" w:cs="宋体"/>
          <w:kern w:val="0"/>
          <w:sz w:val="32"/>
          <w:szCs w:val="32"/>
        </w:rPr>
        <w:t>进度安排</w:t>
      </w:r>
    </w:p>
    <w:p>
      <w:pPr>
        <w:widowControl/>
        <w:wordWrap w:val="0"/>
        <w:spacing w:line="360" w:lineRule="atLeas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七、效益分析（绩效目标）</w:t>
      </w:r>
    </w:p>
    <w:p>
      <w:pPr>
        <w:snapToGrid w:val="0"/>
        <w:spacing w:line="59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八、保障措施</w:t>
      </w:r>
    </w:p>
    <w:p>
      <w:pPr>
        <w:snapToGrid w:val="0"/>
        <w:spacing w:line="59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九、佐证材料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（一）营业执照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（二）近两年财务报表（企业提供审计报告）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（三）建设用地证明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（四）土地承包合同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（五）企业资质荣誉（含龙头企业证明材料等）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（六）项目自筹资金承诺函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）生产经营场所现状照片</w:t>
      </w:r>
    </w:p>
    <w:p>
      <w:pPr>
        <w:widowControl/>
        <w:shd w:val="clear" w:color="auto" w:fill="FFFFFF"/>
        <w:wordWrap w:val="0"/>
        <w:spacing w:line="54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）其他证明材料</w:t>
      </w: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40" w:lineRule="atLeas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hint="eastAsia" w:ascii="方正小标宋简体" w:hAnsi="微软雅黑" w:eastAsia="方正小标宋简体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自筹资金承诺函（模板）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p>
      <w:pPr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西牛镇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人民政府：</w:t>
      </w:r>
    </w:p>
    <w:p>
      <w:pPr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XXXX公司作为实施主体参与建设的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西牛镇麻竹笋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农业产业强镇建设项目，承担建设项目名称：XXXXXX，项目实施期为XX个月，自XX年XX月到XX年XX月。项目总投资XX万元，为确保项目顺利实施，公司愿意现行垫资XX万元作为项目资金来保障项目实施，资金由本单位多年未分配利润、向银行贷款或融资筹集，待项目建设完成后申请产业强镇级财政资金补助XX万元，其余为单位自筹资金XX万元。特此承诺。</w:t>
      </w:r>
    </w:p>
    <w:p>
      <w:pPr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承诺单位：XXXX公司</w:t>
      </w:r>
    </w:p>
    <w:p>
      <w:pPr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 月  日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NWVhMjYxYjU1MjQ5MGEzYzU0MTI0YzMyN2FhYWQifQ=="/>
  </w:docVars>
  <w:rsids>
    <w:rsidRoot w:val="00000000"/>
    <w:rsid w:val="00516D8B"/>
    <w:rsid w:val="076267BB"/>
    <w:rsid w:val="0856250D"/>
    <w:rsid w:val="3709206F"/>
    <w:rsid w:val="550D5103"/>
    <w:rsid w:val="60745AC4"/>
    <w:rsid w:val="61495ECB"/>
    <w:rsid w:val="7B1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  <w:rPr>
      <w:rFonts w:ascii="Times New Roman" w:hAnsi="Times New Roman" w:eastAsia="宋体"/>
      <w:szCs w:val="24"/>
    </w:rPr>
  </w:style>
  <w:style w:type="paragraph" w:styleId="5">
    <w:name w:val="toc 4"/>
    <w:basedOn w:val="1"/>
    <w:next w:val="1"/>
    <w:qFormat/>
    <w:uiPriority w:val="0"/>
    <w:pPr>
      <w:wordWrap w:val="0"/>
      <w:ind w:left="850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10</TotalTime>
  <ScaleCrop>false</ScaleCrop>
  <LinksUpToDate>false</LinksUpToDate>
  <CharactersWithSpaces>97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2023-09-10T13:36:00Z</dcterms:created>
  <dc:creator>11324</dc:creator>
  <cp:lastModifiedBy>范禹</cp:lastModifiedBy>
  <cp:lastPrinted>2023-09-14T01:11:00Z</cp:lastPrinted>
  <dcterms:modified xsi:type="dcterms:W3CDTF">2023-09-14T01:16:47Z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D62945B2AB1048D78BFAF52A04E95315_12</vt:lpwstr>
  </property>
</Properties>
</file>