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46CE2">
      <w:pPr>
        <w:pStyle w:val="15"/>
        <w:bidi w:val="0"/>
        <w:rPr>
          <w:rFonts w:hint="eastAsia" w:ascii="黑体" w:hAnsi="黑体" w:eastAsia="黑体" w:cs="黑体"/>
          <w:lang w:eastAsia="zh-CN"/>
        </w:rPr>
      </w:pPr>
      <w:r>
        <w:rPr>
          <w:rFonts w:hint="eastAsia" w:ascii="黑体" w:hAnsi="黑体" w:eastAsia="黑体" w:cs="黑体"/>
          <w:lang w:eastAsia="zh-CN"/>
        </w:rPr>
        <w:t>附件：</w:t>
      </w:r>
    </w:p>
    <w:p w14:paraId="15F28A1D">
      <w:pPr>
        <w:pStyle w:val="15"/>
        <w:bidi w:val="0"/>
        <w:rPr>
          <w:rFonts w:hint="eastAsia"/>
          <w:lang w:eastAsia="zh-CN"/>
        </w:rPr>
      </w:pPr>
    </w:p>
    <w:p w14:paraId="07E47D8D">
      <w:pPr>
        <w:pStyle w:val="16"/>
        <w:bidi w:val="0"/>
        <w:rPr>
          <w:rFonts w:hint="eastAsia"/>
          <w:lang w:eastAsia="zh-CN"/>
        </w:rPr>
      </w:pPr>
      <w:bookmarkStart w:id="0" w:name="_GoBack"/>
      <w:r>
        <w:rPr>
          <w:rFonts w:hint="eastAsia"/>
          <w:lang w:eastAsia="zh-CN"/>
        </w:rPr>
        <w:t>英德市科技成果转化服务中心</w:t>
      </w:r>
    </w:p>
    <w:p w14:paraId="7039F9E4">
      <w:pPr>
        <w:pStyle w:val="16"/>
        <w:bidi w:val="0"/>
        <w:rPr>
          <w:rFonts w:hint="eastAsia"/>
        </w:rPr>
      </w:pPr>
      <w:r>
        <w:rPr>
          <w:rFonts w:hint="eastAsia"/>
          <w:lang w:eastAsia="zh-CN"/>
        </w:rPr>
        <w:t>运营管理团队</w:t>
      </w:r>
      <w:r>
        <w:rPr>
          <w:rFonts w:hint="eastAsia"/>
        </w:rPr>
        <w:t>招募项目情况</w:t>
      </w:r>
    </w:p>
    <w:bookmarkEnd w:id="0"/>
    <w:p w14:paraId="60DD19F6">
      <w:pPr>
        <w:pStyle w:val="17"/>
        <w:bidi w:val="0"/>
        <w:rPr>
          <w:rFonts w:hint="eastAsia"/>
          <w:lang w:eastAsia="zh-CN"/>
        </w:rPr>
      </w:pPr>
    </w:p>
    <w:p w14:paraId="0AAFC3BD">
      <w:pPr>
        <w:pStyle w:val="25"/>
        <w:numPr>
          <w:ilvl w:val="0"/>
          <w:numId w:val="4"/>
        </w:numPr>
        <w:bidi w:val="0"/>
        <w:rPr>
          <w:rFonts w:hint="eastAsia"/>
          <w:lang w:eastAsia="zh-CN"/>
        </w:rPr>
      </w:pPr>
      <w:r>
        <w:rPr>
          <w:rFonts w:hint="eastAsia"/>
          <w:lang w:val="en-US" w:eastAsia="zh-CN"/>
        </w:rPr>
        <w:t>平台</w:t>
      </w:r>
      <w:r>
        <w:rPr>
          <w:rFonts w:hint="eastAsia"/>
          <w:lang w:eastAsia="zh-CN"/>
        </w:rPr>
        <w:t>地址</w:t>
      </w:r>
    </w:p>
    <w:p w14:paraId="31CA182B">
      <w:pPr>
        <w:pStyle w:val="17"/>
        <w:bidi w:val="0"/>
        <w:rPr>
          <w:rFonts w:hint="eastAsia"/>
          <w:lang w:val="en-US" w:eastAsia="zh-CN"/>
        </w:rPr>
      </w:pPr>
      <w:r>
        <w:rPr>
          <w:rFonts w:hint="eastAsia"/>
          <w:lang w:eastAsia="zh-CN"/>
        </w:rPr>
        <w:t>英德市科技成果转化服务中心</w:t>
      </w:r>
      <w:r>
        <w:rPr>
          <w:rFonts w:hint="eastAsia"/>
        </w:rPr>
        <w:t>位于英德</w:t>
      </w:r>
      <w:r>
        <w:rPr>
          <w:rFonts w:hint="eastAsia"/>
          <w:lang w:val="en-US" w:eastAsia="zh-CN"/>
        </w:rPr>
        <w:t>高新区东华片区人才公寓一楼</w:t>
      </w:r>
      <w:r>
        <w:rPr>
          <w:rFonts w:hint="eastAsia"/>
          <w:lang w:eastAsia="zh-CN"/>
        </w:rPr>
        <w:t>，</w:t>
      </w:r>
      <w:r>
        <w:rPr>
          <w:rFonts w:hint="eastAsia"/>
        </w:rPr>
        <w:t>建筑面积约170</w:t>
      </w:r>
      <w:r>
        <w:rPr>
          <w:rFonts w:hint="eastAsia"/>
          <w:lang w:val="en-US" w:eastAsia="zh-CN"/>
        </w:rPr>
        <w:t>平方米</w:t>
      </w:r>
      <w:r>
        <w:rPr>
          <w:rFonts w:hint="eastAsia"/>
        </w:rPr>
        <w:t>，通过装修和场景布置，以系统、视频、海报、模型等形式，对英德市的科技创新主体、平台、要素、产品以及开展科技成果转化服务的情况进行展示。同时配套办公、会议、洽谈等必要的功能区域，确保满足日常开展科技成果转化服务活动的需要。</w:t>
      </w:r>
      <w:r>
        <w:rPr>
          <w:rFonts w:hint="eastAsia"/>
          <w:lang w:val="en-US" w:eastAsia="zh-CN"/>
        </w:rPr>
        <w:t>中心开发有“英德市科技创新与成果转化综合信息系统”，在服务中心通过会议一体机展示，同时对项目实施期内英德市企业的信息进行数据采集和发布，促进科技成果的有效转化与应用。</w:t>
      </w:r>
    </w:p>
    <w:p w14:paraId="66F7A640">
      <w:pPr>
        <w:pStyle w:val="25"/>
        <w:bidi w:val="0"/>
        <w:rPr>
          <w:rFonts w:hint="eastAsia"/>
          <w:lang w:eastAsia="zh-CN"/>
        </w:rPr>
      </w:pPr>
      <w:r>
        <w:rPr>
          <w:rFonts w:hint="eastAsia"/>
          <w:lang w:eastAsia="zh-CN"/>
        </w:rPr>
        <w:t>服务期限</w:t>
      </w:r>
    </w:p>
    <w:p w14:paraId="4DB75221">
      <w:pPr>
        <w:pStyle w:val="17"/>
        <w:bidi w:val="0"/>
        <w:rPr>
          <w:rFonts w:hint="eastAsia"/>
          <w:lang w:val="en-US" w:eastAsia="zh-CN"/>
        </w:rPr>
      </w:pPr>
      <w:r>
        <w:rPr>
          <w:rFonts w:hint="eastAsia"/>
        </w:rPr>
        <w:t>自</w:t>
      </w:r>
      <w:r>
        <w:rPr>
          <w:rFonts w:hint="eastAsia"/>
          <w:lang w:eastAsia="zh-CN"/>
        </w:rPr>
        <w:t>双方</w:t>
      </w:r>
      <w:r>
        <w:rPr>
          <w:rFonts w:hint="eastAsia"/>
        </w:rPr>
        <w:t>签订协议</w:t>
      </w:r>
      <w:r>
        <w:rPr>
          <w:rFonts w:hint="eastAsia"/>
          <w:lang w:val="en-US" w:eastAsia="zh-CN"/>
        </w:rPr>
        <w:t>之日起1年。</w:t>
      </w:r>
    </w:p>
    <w:p w14:paraId="42E7353F">
      <w:pPr>
        <w:pStyle w:val="25"/>
        <w:bidi w:val="0"/>
        <w:rPr>
          <w:rFonts w:hint="eastAsia"/>
          <w:lang w:eastAsia="zh-CN"/>
        </w:rPr>
      </w:pPr>
      <w:r>
        <w:rPr>
          <w:rFonts w:hint="eastAsia"/>
          <w:lang w:eastAsia="zh-CN"/>
        </w:rPr>
        <w:t>运营服务主要内容</w:t>
      </w:r>
    </w:p>
    <w:p w14:paraId="73C3607A">
      <w:pPr>
        <w:pStyle w:val="17"/>
        <w:bidi w:val="0"/>
        <w:rPr>
          <w:rFonts w:hint="eastAsia"/>
          <w:lang w:val="en-US" w:eastAsia="zh-CN"/>
        </w:rPr>
      </w:pPr>
      <w:r>
        <w:rPr>
          <w:rFonts w:hint="eastAsia"/>
          <w:lang w:val="en-US" w:eastAsia="zh-CN"/>
        </w:rPr>
        <w:t>（一）组建一支常设性运营管理团队，配备1名专职运营工作人员，做好英德市科技成果转化服务中心的日常管理工作，并联动地方产业促进组织建立常态化协同服务机制。</w:t>
      </w:r>
    </w:p>
    <w:p w14:paraId="21BAC8D4">
      <w:pPr>
        <w:pStyle w:val="17"/>
        <w:bidi w:val="0"/>
        <w:rPr>
          <w:rFonts w:hint="eastAsia"/>
          <w:lang w:val="en-US" w:eastAsia="zh-CN"/>
        </w:rPr>
      </w:pPr>
      <w:r>
        <w:rPr>
          <w:rFonts w:hint="eastAsia"/>
          <w:lang w:val="en-US" w:eastAsia="zh-CN"/>
        </w:rPr>
        <w:t>（二）负责英德市科技创新与成果转化综合信息系统的日常维护管理、信息发布与数据更新工作，入库的科技成果转化供应信息不少于30条。</w:t>
      </w:r>
    </w:p>
    <w:p w14:paraId="47233725">
      <w:pPr>
        <w:pStyle w:val="17"/>
        <w:bidi w:val="0"/>
        <w:rPr>
          <w:rFonts w:hint="eastAsia"/>
          <w:lang w:val="en-US" w:eastAsia="zh-CN"/>
        </w:rPr>
      </w:pPr>
      <w:r>
        <w:rPr>
          <w:rFonts w:hint="eastAsia"/>
          <w:lang w:val="en-US" w:eastAsia="zh-CN"/>
        </w:rPr>
        <w:t>（三）围绕英德市主导产业，聚焦高性能复合材料企业需求，组织高校院所专家深入企业开展技术诊断和需求调研，精准挖掘技术攻关、产学研合作及成果转化需求，其中高性能复合材料领域不少于20项。</w:t>
      </w:r>
    </w:p>
    <w:p w14:paraId="48A1FD6E">
      <w:pPr>
        <w:pStyle w:val="17"/>
        <w:bidi w:val="0"/>
        <w:rPr>
          <w:rFonts w:hint="eastAsia"/>
          <w:lang w:val="en-US" w:eastAsia="zh-CN"/>
        </w:rPr>
      </w:pPr>
      <w:r>
        <w:rPr>
          <w:rFonts w:hint="eastAsia"/>
          <w:lang w:val="en-US" w:eastAsia="zh-CN"/>
        </w:rPr>
        <w:t>（四）通过链接各类技术服务机构对接新材料等领域的重点高校和科研院所资源，为企业提供政策咨询、技术评估、项目对接等全方位科技创新服务，覆盖企业不少于20家。</w:t>
      </w:r>
    </w:p>
    <w:p w14:paraId="3EF3E318">
      <w:pPr>
        <w:pStyle w:val="17"/>
        <w:bidi w:val="0"/>
        <w:rPr>
          <w:rFonts w:hint="eastAsia"/>
          <w:lang w:val="en-US" w:eastAsia="zh-CN"/>
        </w:rPr>
      </w:pPr>
      <w:r>
        <w:rPr>
          <w:rFonts w:hint="eastAsia"/>
          <w:lang w:val="en-US" w:eastAsia="zh-CN"/>
        </w:rPr>
        <w:t>（五）策划、组织并举办高性能复合材料领域科技成果转化对接活动不少于2场，实现“技术供给—企业需求—金融支持”三方精准匹配，促成有效合作意向不少于3项，促进成熟度较高、产业化前景较好的前沿科技成果在我市实现转化和产业化。</w:t>
      </w:r>
    </w:p>
    <w:p w14:paraId="39BC2DB1">
      <w:pPr>
        <w:pStyle w:val="17"/>
        <w:bidi w:val="0"/>
        <w:rPr>
          <w:rFonts w:hint="eastAsia"/>
          <w:lang w:val="en-US" w:eastAsia="zh-CN"/>
        </w:rPr>
      </w:pPr>
      <w:r>
        <w:rPr>
          <w:rFonts w:hint="eastAsia"/>
          <w:lang w:val="en-US" w:eastAsia="zh-CN"/>
        </w:rPr>
        <w:t>（六）遴选并支持不少于1家高性能复合材料企业联合高校院所共同实施科技成果转化的示范项目，形成可复制、可推广的技术成果产业化案例。</w:t>
      </w:r>
    </w:p>
    <w:p w14:paraId="29DD751A">
      <w:pPr>
        <w:pStyle w:val="17"/>
        <w:bidi w:val="0"/>
        <w:rPr>
          <w:rFonts w:hint="eastAsia"/>
          <w:lang w:val="en-US" w:eastAsia="zh-CN"/>
        </w:rPr>
      </w:pPr>
      <w:r>
        <w:rPr>
          <w:rFonts w:hint="eastAsia"/>
          <w:lang w:val="en-US" w:eastAsia="zh-CN"/>
        </w:rPr>
        <w:t>（七）推动企业柔性引进人才，推荐优秀科技成果转化项目申报奖补。</w:t>
      </w:r>
    </w:p>
    <w:p w14:paraId="086ED962">
      <w:pPr>
        <w:pStyle w:val="25"/>
        <w:bidi w:val="0"/>
        <w:rPr>
          <w:rFonts w:hint="eastAsia"/>
          <w:lang w:val="en-US" w:eastAsia="zh-CN"/>
        </w:rPr>
      </w:pPr>
      <w:r>
        <w:rPr>
          <w:rFonts w:hint="eastAsia"/>
          <w:lang w:val="en-US" w:eastAsia="zh-CN"/>
        </w:rPr>
        <w:t>运营管理费用</w:t>
      </w:r>
    </w:p>
    <w:p w14:paraId="66F2B087">
      <w:pPr>
        <w:pStyle w:val="17"/>
        <w:bidi w:val="0"/>
        <w:rPr>
          <w:rFonts w:hint="eastAsia"/>
          <w:lang w:eastAsia="zh-CN"/>
        </w:rPr>
      </w:pPr>
      <w:r>
        <w:rPr>
          <w:rFonts w:hint="eastAsia"/>
          <w:lang w:eastAsia="zh-CN"/>
        </w:rPr>
        <w:t>（一）本项目费用为15万</w:t>
      </w:r>
      <w:r>
        <w:rPr>
          <w:rFonts w:hint="eastAsia"/>
          <w:lang w:val="en-US" w:eastAsia="zh-CN"/>
        </w:rPr>
        <w:t>元</w:t>
      </w:r>
      <w:r>
        <w:rPr>
          <w:rFonts w:hint="eastAsia"/>
          <w:lang w:eastAsia="zh-CN"/>
        </w:rPr>
        <w:t>/年，作为以下几方面的运营管理费用：</w:t>
      </w:r>
    </w:p>
    <w:p w14:paraId="439E29E8">
      <w:pPr>
        <w:pStyle w:val="17"/>
        <w:bidi w:val="0"/>
        <w:rPr>
          <w:rFonts w:hint="eastAsia"/>
          <w:lang w:eastAsia="zh-CN"/>
        </w:rPr>
      </w:pPr>
      <w:r>
        <w:rPr>
          <w:rFonts w:hint="eastAsia"/>
          <w:lang w:eastAsia="zh-CN"/>
        </w:rPr>
        <w:t>1.英德市科技成果转化服务中心日常办公运营费用；</w:t>
      </w:r>
    </w:p>
    <w:p w14:paraId="1C3F51C4">
      <w:pPr>
        <w:pStyle w:val="17"/>
        <w:bidi w:val="0"/>
        <w:rPr>
          <w:rFonts w:hint="eastAsia"/>
          <w:lang w:eastAsia="zh-CN"/>
        </w:rPr>
      </w:pPr>
      <w:r>
        <w:rPr>
          <w:rFonts w:hint="eastAsia"/>
          <w:lang w:eastAsia="zh-CN"/>
        </w:rPr>
        <w:t>2.策划、组织并举办高性能复合材料领域科技成果转化对接活动经费；</w:t>
      </w:r>
    </w:p>
    <w:p w14:paraId="36DA10DC">
      <w:pPr>
        <w:pStyle w:val="17"/>
        <w:bidi w:val="0"/>
        <w:rPr>
          <w:rFonts w:hint="eastAsia"/>
          <w:lang w:eastAsia="zh-CN"/>
        </w:rPr>
      </w:pPr>
      <w:r>
        <w:rPr>
          <w:rFonts w:hint="eastAsia"/>
          <w:lang w:eastAsia="zh-CN"/>
        </w:rPr>
        <w:t>3.专家在英德市科技成果转化服务中心工作期间的住宿费、餐费；</w:t>
      </w:r>
    </w:p>
    <w:p w14:paraId="7DF1CCF7">
      <w:pPr>
        <w:pStyle w:val="17"/>
        <w:bidi w:val="0"/>
        <w:rPr>
          <w:rFonts w:hint="eastAsia"/>
          <w:lang w:eastAsia="zh-CN"/>
        </w:rPr>
      </w:pPr>
      <w:r>
        <w:rPr>
          <w:rFonts w:hint="eastAsia"/>
          <w:lang w:eastAsia="zh-CN"/>
        </w:rPr>
        <w:t>4.专职运营工作人员的薪酬等经费；</w:t>
      </w:r>
    </w:p>
    <w:p w14:paraId="372EF821">
      <w:pPr>
        <w:pStyle w:val="17"/>
        <w:bidi w:val="0"/>
        <w:rPr>
          <w:rFonts w:hint="eastAsia"/>
          <w:lang w:eastAsia="zh-CN"/>
        </w:rPr>
      </w:pPr>
      <w:r>
        <w:rPr>
          <w:rFonts w:hint="eastAsia"/>
          <w:lang w:val="en-US" w:eastAsia="zh-CN"/>
        </w:rPr>
        <w:t>5</w:t>
      </w:r>
      <w:r>
        <w:rPr>
          <w:rFonts w:hint="eastAsia"/>
          <w:lang w:eastAsia="zh-CN"/>
        </w:rPr>
        <w:t>.其他合理开支。</w:t>
      </w:r>
    </w:p>
    <w:p w14:paraId="6CE6119B">
      <w:pPr>
        <w:pStyle w:val="17"/>
        <w:bidi w:val="0"/>
        <w:rPr>
          <w:rFonts w:hint="eastAsia"/>
          <w:lang w:eastAsia="zh-CN"/>
        </w:rPr>
      </w:pPr>
      <w:r>
        <w:rPr>
          <w:rFonts w:hint="eastAsia"/>
          <w:lang w:eastAsia="zh-CN"/>
        </w:rPr>
        <w:t>（二）运营管理费用从市委人才办划拨的省“扬帆计划”资金中列支，于协议签订后30个工作日内，且运营方开具发票后，一次性拨付。</w:t>
      </w:r>
    </w:p>
    <w:p w14:paraId="493B91DC">
      <w:pPr>
        <w:pStyle w:val="25"/>
        <w:bidi w:val="0"/>
        <w:rPr>
          <w:rFonts w:hint="eastAsia"/>
          <w:lang w:val="en-US" w:eastAsia="zh-CN"/>
        </w:rPr>
      </w:pPr>
      <w:r>
        <w:rPr>
          <w:rFonts w:hint="eastAsia"/>
          <w:lang w:val="en-US" w:eastAsia="zh-CN"/>
        </w:rPr>
        <w:t>运营管理要求</w:t>
      </w:r>
    </w:p>
    <w:p w14:paraId="21374BDC">
      <w:pPr>
        <w:pStyle w:val="17"/>
        <w:bidi w:val="0"/>
        <w:rPr>
          <w:rFonts w:hint="eastAsia"/>
          <w:lang w:val="en-US" w:eastAsia="zh-CN"/>
        </w:rPr>
      </w:pPr>
      <w:r>
        <w:rPr>
          <w:rFonts w:hint="eastAsia"/>
          <w:lang w:val="en-US" w:eastAsia="zh-CN"/>
        </w:rPr>
        <w:t>（一）英德高新区综合服务中心对工作开展和资金使用情况进行全程监督。运营方在策划科技成果转化对接等活动时，应提前制定活动方案和经费预算，一次性使用运营服务费用超过5000元的，必须请示英德高新区综合服务中心同意后方可使用。英德高新区综合服务中心有权制止运营方不合理的工作安排和经费开支。</w:t>
      </w:r>
    </w:p>
    <w:p w14:paraId="0A986198">
      <w:pPr>
        <w:pStyle w:val="17"/>
        <w:bidi w:val="0"/>
        <w:rPr>
          <w:rFonts w:hint="eastAsia"/>
          <w:lang w:val="en-US" w:eastAsia="zh-CN"/>
        </w:rPr>
      </w:pPr>
      <w:r>
        <w:rPr>
          <w:rFonts w:hint="eastAsia"/>
          <w:lang w:val="en-US" w:eastAsia="zh-CN"/>
        </w:rPr>
        <w:t>（二）运营方应自觉接受英德高新区综合服务中心的指导和监督，全面履行相关安全管理职责和日常管理责任，确保高质量完成各项工作任务。对照年度运营工作方案及项目预算经费支出计划，如有可能出现无法按时完成年度任务的情况，英德高新区综合服务中心有权终止协议，并追回运营管理费用。</w:t>
      </w:r>
    </w:p>
    <w:p w14:paraId="61996655">
      <w:pPr>
        <w:pStyle w:val="17"/>
        <w:bidi w:val="0"/>
        <w:rPr>
          <w:rFonts w:hint="eastAsia"/>
          <w:lang w:val="en-US" w:eastAsia="zh-CN"/>
        </w:rPr>
      </w:pPr>
      <w:r>
        <w:rPr>
          <w:rFonts w:hint="eastAsia"/>
          <w:lang w:val="en-US" w:eastAsia="zh-CN"/>
        </w:rPr>
        <w:t>（三）运营方履行协议期间，团队所有工作人员的合法薪酬待遇（包括社会养老保险、工伤保险等）及管理责任均由运营方负责。</w:t>
      </w:r>
    </w:p>
    <w:p w14:paraId="699B6765"/>
    <w:p w14:paraId="2A1B1374"/>
    <w:sectPr>
      <w:footerReference r:id="rId3" w:type="default"/>
      <w:pgSz w:w="11906" w:h="16838"/>
      <w:pgMar w:top="2211" w:right="1474" w:bottom="1871" w:left="1587" w:header="851" w:footer="992"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0216">
    <w:pPr>
      <w:pStyle w:val="11"/>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BE66F">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9BE66F">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79D3C"/>
    <w:multiLevelType w:val="singleLevel"/>
    <w:tmpl w:val="37D79D3C"/>
    <w:lvl w:ilvl="0" w:tentative="0">
      <w:start w:val="1"/>
      <w:numFmt w:val="chineseCounting"/>
      <w:pStyle w:val="26"/>
      <w:suff w:val="nothing"/>
      <w:lvlText w:val="（%1）"/>
      <w:lvlJc w:val="left"/>
      <w:pPr>
        <w:tabs>
          <w:tab w:val="left" w:pos="0"/>
        </w:tabs>
        <w:ind w:left="0" w:firstLine="420"/>
      </w:pPr>
      <w:rPr>
        <w:rFonts w:hint="eastAsia" w:ascii="Times New Roman" w:hAnsi="Times New Roman" w:eastAsia="楷体_GB2312" w:cs="楷体_GB2312"/>
        <w:color w:val="auto"/>
        <w:sz w:val="32"/>
        <w:szCs w:val="32"/>
      </w:rPr>
    </w:lvl>
  </w:abstractNum>
  <w:abstractNum w:abstractNumId="1">
    <w:nsid w:val="38C6AB6C"/>
    <w:multiLevelType w:val="multilevel"/>
    <w:tmpl w:val="38C6AB6C"/>
    <w:lvl w:ilvl="0" w:tentative="0">
      <w:start w:val="1"/>
      <w:numFmt w:val="chineseCounting"/>
      <w:suff w:val="nothing"/>
      <w:lvlText w:val="%1"/>
      <w:lvlJc w:val="left"/>
      <w:pPr>
        <w:tabs>
          <w:tab w:val="left" w:pos="0"/>
        </w:tabs>
        <w:ind w:left="0" w:firstLine="0"/>
      </w:pPr>
      <w:rPr>
        <w:rFonts w:hint="eastAsia" w:ascii="Times New Roman" w:hAnsi="Times New Roman" w:eastAsia="黑体" w:cs="Times New Roman"/>
        <w:sz w:val="32"/>
        <w:szCs w:val="32"/>
      </w:rPr>
    </w:lvl>
    <w:lvl w:ilvl="1" w:tentative="0">
      <w:start w:val="1"/>
      <w:numFmt w:val="chineseCounting"/>
      <w:pStyle w:val="3"/>
      <w:suff w:val="nothing"/>
      <w:lvlText w:val="（%2）"/>
      <w:lvlJc w:val="left"/>
      <w:pPr>
        <w:ind w:left="0" w:firstLine="0"/>
      </w:pPr>
      <w:rPr>
        <w:rFonts w:hint="eastAsia" w:ascii="Times New Roman" w:hAnsi="Times New Roman" w:eastAsia="楷体_GB2312"/>
        <w:sz w:val="32"/>
        <w:szCs w:val="32"/>
      </w:rPr>
    </w:lvl>
    <w:lvl w:ilvl="2" w:tentative="0">
      <w:start w:val="1"/>
      <w:numFmt w:val="decimal"/>
      <w:pStyle w:val="4"/>
      <w:suff w:val="nothing"/>
      <w:lvlText w:val="%3．"/>
      <w:lvlJc w:val="left"/>
      <w:pPr>
        <w:ind w:left="0" w:firstLine="400"/>
      </w:pPr>
      <w:rPr>
        <w:rFonts w:hint="eastAsia" w:ascii="Times New Roman" w:hAnsi="Times New Roman" w:eastAsia="仿宋_GB2312"/>
        <w:sz w:val="32"/>
        <w:szCs w:val="32"/>
      </w:rPr>
    </w:lvl>
    <w:lvl w:ilvl="3" w:tentative="0">
      <w:start w:val="1"/>
      <w:numFmt w:val="decimal"/>
      <w:pStyle w:val="5"/>
      <w:suff w:val="nothing"/>
      <w:lvlText w:val="（%4）"/>
      <w:lvlJc w:val="left"/>
      <w:pPr>
        <w:ind w:left="0" w:firstLine="402"/>
      </w:pPr>
      <w:rPr>
        <w:rFonts w:hint="eastAsia" w:ascii="Times New Roman" w:hAnsi="Times New Roman" w:eastAsia="仿宋_GB2312"/>
        <w:sz w:val="32"/>
        <w:szCs w:val="32"/>
      </w:rPr>
    </w:lvl>
    <w:lvl w:ilvl="4" w:tentative="0">
      <w:start w:val="1"/>
      <w:numFmt w:val="decimalEnclosedCircleChinese"/>
      <w:pStyle w:val="6"/>
      <w:suff w:val="nothing"/>
      <w:lvlText w:val="%5"/>
      <w:lvlJc w:val="left"/>
      <w:pPr>
        <w:ind w:left="0" w:firstLine="402"/>
      </w:pPr>
      <w:rPr>
        <w:rFonts w:hint="eastAsia" w:ascii="Times New Roman" w:hAnsi="Times New Roman" w:eastAsia="仿宋_GB2312"/>
        <w:sz w:val="32"/>
        <w:szCs w:val="32"/>
      </w:rPr>
    </w:lvl>
    <w:lvl w:ilvl="5" w:tentative="0">
      <w:start w:val="1"/>
      <w:numFmt w:val="decimal"/>
      <w:pStyle w:val="7"/>
      <w:suff w:val="nothing"/>
      <w:lvlText w:val="%6）"/>
      <w:lvlJc w:val="left"/>
      <w:pPr>
        <w:ind w:left="0" w:firstLine="402"/>
      </w:pPr>
      <w:rPr>
        <w:rFonts w:hint="eastAsia" w:ascii="Times New Roman" w:hAnsi="Times New Roman" w:eastAsia="仿宋_GB2312"/>
        <w:sz w:val="32"/>
        <w:szCs w:val="32"/>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7CCEBA2B"/>
    <w:multiLevelType w:val="singleLevel"/>
    <w:tmpl w:val="7CCEBA2B"/>
    <w:lvl w:ilvl="0" w:tentative="0">
      <w:start w:val="1"/>
      <w:numFmt w:val="chineseCounting"/>
      <w:pStyle w:val="25"/>
      <w:suff w:val="nothing"/>
      <w:lvlText w:val="%1、"/>
      <w:lvlJc w:val="left"/>
      <w:pPr>
        <w:tabs>
          <w:tab w:val="left" w:pos="0"/>
        </w:tabs>
        <w:ind w:left="0" w:firstLine="420"/>
      </w:pPr>
      <w:rPr>
        <w:rFonts w:hint="eastAsia" w:ascii="Times New Roman" w:hAnsi="Times New Roman" w:eastAsia="黑体" w:cs="黑体"/>
        <w:sz w:val="32"/>
        <w:szCs w:val="32"/>
      </w:rPr>
    </w:lvl>
  </w:abstractNum>
  <w:num w:numId="1">
    <w:abstractNumId w:val="1"/>
  </w:num>
  <w:num w:numId="2">
    <w:abstractNumId w:val="2"/>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03FCB"/>
    <w:rsid w:val="073F52F0"/>
    <w:rsid w:val="08AC23BD"/>
    <w:rsid w:val="0C0D5602"/>
    <w:rsid w:val="1A686637"/>
    <w:rsid w:val="1EA65063"/>
    <w:rsid w:val="1F2A16D1"/>
    <w:rsid w:val="26B2663E"/>
    <w:rsid w:val="30EB4D83"/>
    <w:rsid w:val="3392672D"/>
    <w:rsid w:val="38CA7D80"/>
    <w:rsid w:val="3BCB4FFF"/>
    <w:rsid w:val="44581CD6"/>
    <w:rsid w:val="46DD10B8"/>
    <w:rsid w:val="4C877FC5"/>
    <w:rsid w:val="4FBF77F3"/>
    <w:rsid w:val="5003209D"/>
    <w:rsid w:val="51983076"/>
    <w:rsid w:val="58E3206E"/>
    <w:rsid w:val="5A3454B0"/>
    <w:rsid w:val="5B703FCB"/>
    <w:rsid w:val="614005A0"/>
    <w:rsid w:val="6B8C0951"/>
    <w:rsid w:val="6BEF1CA0"/>
    <w:rsid w:val="73D34392"/>
    <w:rsid w:val="745633F2"/>
    <w:rsid w:val="78B54AC7"/>
    <w:rsid w:val="79A73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Calibri" w:hAnsi="Calibri" w:eastAsia="宋体" w:cs="Times New Roman"/>
      <w:b/>
      <w:bCs/>
      <w:kern w:val="44"/>
      <w:sz w:val="44"/>
      <w:szCs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footer"/>
    <w:basedOn w:val="1"/>
    <w:uiPriority w:val="0"/>
    <w:pPr>
      <w:tabs>
        <w:tab w:val="center" w:pos="4153"/>
        <w:tab w:val="right" w:pos="8306"/>
      </w:tabs>
      <w:snapToGrid w:val="0"/>
      <w:jc w:val="left"/>
    </w:pPr>
    <w:rPr>
      <w:rFonts w:ascii="仿宋_GB2312" w:hAnsi="仿宋_GB2312" w:eastAsia="仿宋_GB2312"/>
      <w:sz w:val="28"/>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5">
    <w:name w:val="上空25"/>
    <w:next w:val="12"/>
    <w:qFormat/>
    <w:uiPriority w:val="0"/>
    <w:pPr>
      <w:spacing w:line="500" w:lineRule="exact"/>
    </w:pPr>
    <w:rPr>
      <w:rFonts w:hint="default" w:eastAsia="仿宋_GB2312" w:asciiTheme="minorAscii" w:hAnsiTheme="minorAscii" w:cstheme="minorBidi"/>
      <w:sz w:val="32"/>
    </w:rPr>
  </w:style>
  <w:style w:type="paragraph" w:customStyle="1" w:styleId="16">
    <w:name w:val="主标题"/>
    <w:next w:val="1"/>
    <w:qFormat/>
    <w:uiPriority w:val="0"/>
    <w:pPr>
      <w:spacing w:line="700" w:lineRule="exact"/>
      <w:jc w:val="center"/>
    </w:pPr>
    <w:rPr>
      <w:rFonts w:hint="default" w:ascii="Times New Roman" w:hAnsi="Times New Roman" w:eastAsia="方正小标宋_GBK" w:cstheme="minorBidi"/>
      <w:sz w:val="44"/>
    </w:rPr>
  </w:style>
  <w:style w:type="paragraph" w:customStyle="1" w:styleId="17">
    <w:name w:val="正文2"/>
    <w:next w:val="1"/>
    <w:link w:val="18"/>
    <w:qFormat/>
    <w:uiPriority w:val="0"/>
    <w:pPr>
      <w:spacing w:line="600" w:lineRule="exact"/>
      <w:ind w:firstLine="640" w:firstLineChars="200"/>
      <w:jc w:val="both"/>
    </w:pPr>
    <w:rPr>
      <w:rFonts w:hint="default" w:ascii="Times New Roman" w:hAnsi="Times New Roman" w:eastAsia="仿宋_GB2312" w:cstheme="minorBidi"/>
      <w:sz w:val="32"/>
    </w:rPr>
  </w:style>
  <w:style w:type="character" w:customStyle="1" w:styleId="18">
    <w:name w:val="正文2 Char"/>
    <w:link w:val="17"/>
    <w:qFormat/>
    <w:uiPriority w:val="0"/>
    <w:rPr>
      <w:rFonts w:hint="default" w:ascii="Times New Roman" w:hAnsi="Times New Roman" w:eastAsia="仿宋_GB2312"/>
      <w:sz w:val="32"/>
    </w:rPr>
  </w:style>
  <w:style w:type="paragraph" w:customStyle="1" w:styleId="19">
    <w:name w:val="抬头"/>
    <w:next w:val="17"/>
    <w:link w:val="20"/>
    <w:qFormat/>
    <w:uiPriority w:val="0"/>
    <w:pPr>
      <w:spacing w:line="600" w:lineRule="exact"/>
      <w:ind w:firstLine="0" w:firstLineChars="0"/>
      <w:jc w:val="both"/>
    </w:pPr>
    <w:rPr>
      <w:rFonts w:hint="default" w:ascii="Times New Roman" w:hAnsi="Times New Roman" w:eastAsia="仿宋_GB2312" w:cstheme="minorBidi"/>
      <w:sz w:val="32"/>
    </w:rPr>
  </w:style>
  <w:style w:type="character" w:customStyle="1" w:styleId="20">
    <w:name w:val="抬头 Char"/>
    <w:link w:val="19"/>
    <w:qFormat/>
    <w:uiPriority w:val="0"/>
    <w:rPr>
      <w:rFonts w:hint="default" w:ascii="Times New Roman" w:hAnsi="Times New Roman" w:eastAsia="仿宋_GB2312"/>
      <w:sz w:val="32"/>
    </w:rPr>
  </w:style>
  <w:style w:type="paragraph" w:customStyle="1" w:styleId="21">
    <w:name w:val="附件"/>
    <w:next w:val="17"/>
    <w:qFormat/>
    <w:uiPriority w:val="0"/>
    <w:pPr>
      <w:spacing w:line="600" w:lineRule="exact"/>
      <w:ind w:firstLine="1600" w:firstLineChars="500"/>
      <w:jc w:val="both"/>
    </w:pPr>
    <w:rPr>
      <w:rFonts w:hint="default" w:ascii="Times New Roman" w:hAnsi="Times New Roman" w:eastAsia="仿宋_GB2312" w:cstheme="minorBidi"/>
      <w:sz w:val="32"/>
    </w:rPr>
  </w:style>
  <w:style w:type="paragraph" w:customStyle="1" w:styleId="22">
    <w:name w:val="落款"/>
    <w:next w:val="17"/>
    <w:link w:val="23"/>
    <w:qFormat/>
    <w:uiPriority w:val="0"/>
    <w:pPr>
      <w:spacing w:line="600" w:lineRule="exact"/>
      <w:ind w:left="0" w:right="420" w:rightChars="200" w:firstLine="0" w:firstLineChars="0"/>
      <w:jc w:val="right"/>
    </w:pPr>
    <w:rPr>
      <w:rFonts w:hint="default" w:ascii="Times New Roman" w:hAnsi="Times New Roman" w:eastAsia="仿宋_GB2312" w:cstheme="minorBidi"/>
      <w:sz w:val="32"/>
    </w:rPr>
  </w:style>
  <w:style w:type="character" w:customStyle="1" w:styleId="23">
    <w:name w:val="落款 Char"/>
    <w:link w:val="22"/>
    <w:qFormat/>
    <w:uiPriority w:val="0"/>
    <w:rPr>
      <w:rFonts w:hint="default" w:ascii="Times New Roman" w:hAnsi="Times New Roman" w:eastAsia="仿宋_GB2312"/>
      <w:sz w:val="32"/>
    </w:rPr>
  </w:style>
  <w:style w:type="paragraph" w:customStyle="1" w:styleId="24">
    <w:name w:val="落款2"/>
    <w:next w:val="17"/>
    <w:qFormat/>
    <w:uiPriority w:val="0"/>
    <w:pPr>
      <w:spacing w:line="600" w:lineRule="exact"/>
      <w:ind w:right="2100" w:rightChars="1000"/>
      <w:jc w:val="right"/>
    </w:pPr>
    <w:rPr>
      <w:rFonts w:hint="default" w:ascii="Times New Roman" w:hAnsi="Times New Roman" w:eastAsia="仿宋_GB2312" w:cstheme="minorBidi"/>
      <w:sz w:val="32"/>
    </w:rPr>
  </w:style>
  <w:style w:type="paragraph" w:customStyle="1" w:styleId="25">
    <w:name w:val="黑体标题"/>
    <w:next w:val="1"/>
    <w:qFormat/>
    <w:uiPriority w:val="0"/>
    <w:pPr>
      <w:numPr>
        <w:ilvl w:val="0"/>
        <w:numId w:val="2"/>
      </w:numPr>
      <w:spacing w:line="600" w:lineRule="exact"/>
      <w:ind w:firstLine="640" w:firstLineChars="200"/>
      <w:jc w:val="both"/>
    </w:pPr>
    <w:rPr>
      <w:rFonts w:hint="eastAsia" w:ascii="黑体" w:hAnsi="黑体" w:eastAsia="黑体" w:cstheme="minorBidi"/>
      <w:color w:val="auto"/>
      <w:kern w:val="0"/>
      <w:sz w:val="32"/>
      <w:szCs w:val="32"/>
      <w:u w:val="none"/>
    </w:rPr>
  </w:style>
  <w:style w:type="paragraph" w:customStyle="1" w:styleId="26">
    <w:name w:val="楷体标题"/>
    <w:next w:val="17"/>
    <w:qFormat/>
    <w:uiPriority w:val="0"/>
    <w:pPr>
      <w:numPr>
        <w:ilvl w:val="0"/>
        <w:numId w:val="3"/>
      </w:numPr>
      <w:spacing w:line="600" w:lineRule="exact"/>
      <w:ind w:firstLine="640" w:firstLineChars="200"/>
      <w:jc w:val="both"/>
    </w:pPr>
    <w:rPr>
      <w:rFonts w:hint="default" w:ascii="Times New Roman" w:hAnsi="Times New Roman" w:eastAsia="楷体_GB2312" w:cs="楷体_GB2312"/>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2025-12-19T06:52:00Z</dcterms:created>
  <dc:creator>Karl</dc:creator>
  <cp:lastModifiedBy>Karl</cp:lastModifiedBy>
  <dcterms:modified xsi:type="dcterms:W3CDTF">2025-12-19T06:52:26Z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55460F8840124E8AB8CCE67D3F7CABC3_11</vt:lpwstr>
  </property>
  <property fmtid="{D5CDD505-2E9C-101B-9397-08002B2CF9AE}" pid="4" name="KSOTemplateDocerSaveRecord">
    <vt:lpwstr>eyJoZGlkIjoiYWYzZmJiYjAyNGNjZTUyYzQyY2Q2ZjE3Y2Q2YzI3ZmMiLCJ1c2VySWQiOiIzODgxNTMxMzIifQ==</vt:lpwstr>
  </property>
</Properties>
</file>