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D63CE6">
      <w:pPr>
        <w:pStyle w:val="11"/>
        <w:rPr>
          <w:rFonts w:hint="eastAsia"/>
          <w:highlight w:val="none"/>
          <w:u w:val="none"/>
          <w:lang w:val="en-US" w:eastAsia="zh-CN"/>
        </w:rPr>
      </w:pPr>
    </w:p>
    <w:p w14:paraId="555784B4">
      <w:pPr>
        <w:keepNext w:val="0"/>
        <w:keepLines w:val="0"/>
        <w:pageBreakBefore w:val="0"/>
        <w:widowControl/>
        <w:kinsoku/>
        <w:wordWrap/>
        <w:overflowPunct/>
        <w:topLinePunct w:val="0"/>
        <w:autoSpaceDE/>
        <w:autoSpaceDN/>
        <w:bidi w:val="0"/>
        <w:adjustRightInd/>
        <w:snapToGrid/>
        <w:spacing w:line="590" w:lineRule="exact"/>
        <w:ind w:left="0" w:leftChars="0" w:firstLine="0" w:firstLineChars="0"/>
        <w:jc w:val="center"/>
        <w:textAlignment w:val="auto"/>
        <w:outlineLvl w:val="9"/>
        <w:rPr>
          <w:rFonts w:hint="default" w:ascii="Times New Roman" w:hAnsi="Times New Roman" w:eastAsia="方正小标宋_GBK" w:cs="Times New Roman"/>
          <w:sz w:val="44"/>
          <w:szCs w:val="44"/>
          <w:highlight w:val="none"/>
          <w:u w:val="none"/>
          <w:lang w:val="en-US" w:eastAsia="zh-CN"/>
        </w:rPr>
      </w:pPr>
      <w:r>
        <w:rPr>
          <w:rFonts w:hint="default" w:ascii="Times New Roman" w:hAnsi="Times New Roman" w:eastAsia="方正小标宋_GBK" w:cs="Times New Roman"/>
          <w:sz w:val="44"/>
          <w:szCs w:val="44"/>
          <w:highlight w:val="none"/>
          <w:u w:val="none"/>
          <w:lang w:val="en-US" w:eastAsia="zh-CN" w:bidi="ar"/>
        </w:rPr>
        <w:t>英德市农业农村现代化“十五五”规划</w:t>
      </w:r>
    </w:p>
    <w:p w14:paraId="659EBF0F">
      <w:pPr>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0" w:firstLineChars="0"/>
        <w:jc w:val="center"/>
        <w:textAlignment w:val="auto"/>
        <w:rPr>
          <w:rFonts w:hint="eastAsia" w:ascii="Times New Roman" w:hAnsi="Times New Roman" w:eastAsia="方正楷体_GB2312" w:cs="Times New Roman"/>
          <w:b/>
          <w:bCs/>
          <w:color w:val="auto"/>
          <w:sz w:val="34"/>
          <w:szCs w:val="34"/>
          <w:highlight w:val="none"/>
          <w:u w:val="none"/>
          <w:lang w:val="en-US" w:eastAsia="zh-CN"/>
        </w:rPr>
      </w:pPr>
      <w:r>
        <w:rPr>
          <w:rFonts w:hint="eastAsia" w:eastAsia="方正楷体_GB2312" w:cs="Times New Roman"/>
          <w:b/>
          <w:bCs/>
          <w:color w:val="auto"/>
          <w:sz w:val="34"/>
          <w:szCs w:val="34"/>
          <w:highlight w:val="none"/>
          <w:u w:val="none"/>
          <w:lang w:val="en-US" w:eastAsia="zh-CN"/>
        </w:rPr>
        <w:t>（</w:t>
      </w:r>
      <w:r>
        <w:rPr>
          <w:rFonts w:hint="eastAsia" w:ascii="Times New Roman" w:hAnsi="Times New Roman" w:eastAsia="方正楷体_GB2312" w:cs="Times New Roman"/>
          <w:b/>
          <w:bCs/>
          <w:color w:val="auto"/>
          <w:sz w:val="34"/>
          <w:szCs w:val="34"/>
          <w:highlight w:val="none"/>
          <w:u w:val="none"/>
          <w:lang w:val="en-US" w:eastAsia="zh-CN"/>
        </w:rPr>
        <w:t>20260</w:t>
      </w:r>
      <w:r>
        <w:rPr>
          <w:rFonts w:hint="eastAsia" w:eastAsia="方正楷体_GB2312" w:cs="Times New Roman"/>
          <w:b/>
          <w:bCs/>
          <w:color w:val="auto"/>
          <w:sz w:val="34"/>
          <w:szCs w:val="34"/>
          <w:highlight w:val="none"/>
          <w:u w:val="none"/>
          <w:lang w:val="en-US" w:eastAsia="zh-CN"/>
        </w:rPr>
        <w:t>717征求意见修改稿</w:t>
      </w:r>
      <w:r>
        <w:rPr>
          <w:rFonts w:hint="eastAsia" w:ascii="Times New Roman" w:hAnsi="Times New Roman" w:eastAsia="方正楷体_GB2312" w:cs="Times New Roman"/>
          <w:b/>
          <w:bCs/>
          <w:color w:val="auto"/>
          <w:sz w:val="34"/>
          <w:szCs w:val="34"/>
          <w:highlight w:val="none"/>
          <w:u w:val="none"/>
          <w:lang w:val="en-US" w:eastAsia="zh-CN"/>
        </w:rPr>
        <w:t>）</w:t>
      </w:r>
    </w:p>
    <w:p w14:paraId="15C86945">
      <w:pPr>
        <w:numPr>
          <w:ilvl w:val="0"/>
          <w:numId w:val="0"/>
        </w:numPr>
        <w:tabs>
          <w:tab w:val="left" w:pos="0"/>
        </w:tabs>
        <w:ind w:left="1280" w:leftChars="0"/>
        <w:outlineLvl w:val="9"/>
        <w:rPr>
          <w:rFonts w:hint="default"/>
          <w:highlight w:val="none"/>
          <w:u w:val="none"/>
          <w:lang w:val="en-US" w:eastAsia="zh-CN"/>
        </w:rPr>
      </w:pPr>
    </w:p>
    <w:p w14:paraId="4236396B">
      <w:pPr>
        <w:outlineLvl w:val="9"/>
        <w:rPr>
          <w:rFonts w:hint="eastAsia" w:ascii="Times New Roman" w:hAnsi="Times New Roman" w:eastAsia="方正楷体_GB2312" w:cs="Times New Roman"/>
          <w:b/>
          <w:bCs/>
          <w:color w:val="auto"/>
          <w:sz w:val="34"/>
          <w:szCs w:val="34"/>
          <w:highlight w:val="none"/>
          <w:u w:val="none"/>
          <w:lang w:val="en-US" w:eastAsia="zh-CN"/>
        </w:rPr>
      </w:pPr>
    </w:p>
    <w:p w14:paraId="11FDBE5A">
      <w:pPr>
        <w:numPr>
          <w:ilvl w:val="0"/>
          <w:numId w:val="0"/>
        </w:numPr>
        <w:tabs>
          <w:tab w:val="left" w:pos="0"/>
        </w:tabs>
        <w:ind w:left="1280" w:leftChars="0"/>
        <w:outlineLvl w:val="9"/>
        <w:rPr>
          <w:rFonts w:hint="default"/>
          <w:highlight w:val="none"/>
          <w:u w:val="none"/>
          <w:lang w:val="en-US" w:eastAsia="zh-CN"/>
        </w:rPr>
      </w:pPr>
    </w:p>
    <w:p w14:paraId="0F4AA2E1">
      <w:pPr>
        <w:outlineLvl w:val="9"/>
        <w:rPr>
          <w:rFonts w:hint="eastAsia" w:ascii="Times New Roman" w:hAnsi="Times New Roman" w:eastAsia="方正楷体_GB2312" w:cs="Times New Roman"/>
          <w:b/>
          <w:bCs/>
          <w:color w:val="auto"/>
          <w:sz w:val="34"/>
          <w:szCs w:val="34"/>
          <w:highlight w:val="none"/>
          <w:u w:val="none"/>
          <w:lang w:val="en-US" w:eastAsia="zh-CN"/>
        </w:rPr>
      </w:pPr>
    </w:p>
    <w:p w14:paraId="7E9CBCD4">
      <w:pPr>
        <w:numPr>
          <w:ilvl w:val="0"/>
          <w:numId w:val="0"/>
        </w:numPr>
        <w:tabs>
          <w:tab w:val="left" w:pos="0"/>
        </w:tabs>
        <w:ind w:left="1280" w:leftChars="0"/>
        <w:outlineLvl w:val="9"/>
        <w:rPr>
          <w:rFonts w:hint="default"/>
          <w:highlight w:val="none"/>
          <w:u w:val="none"/>
          <w:lang w:val="en-US" w:eastAsia="zh-CN"/>
        </w:rPr>
      </w:pPr>
    </w:p>
    <w:p w14:paraId="4B05B5A4">
      <w:pPr>
        <w:outlineLvl w:val="9"/>
        <w:rPr>
          <w:rFonts w:hint="eastAsia" w:ascii="Times New Roman" w:hAnsi="Times New Roman" w:eastAsia="方正楷体_GB2312" w:cs="Times New Roman"/>
          <w:b/>
          <w:bCs/>
          <w:color w:val="auto"/>
          <w:sz w:val="34"/>
          <w:szCs w:val="34"/>
          <w:highlight w:val="none"/>
          <w:u w:val="none"/>
          <w:lang w:val="en-US" w:eastAsia="zh-CN"/>
        </w:rPr>
      </w:pPr>
    </w:p>
    <w:p w14:paraId="7ED030A4">
      <w:pPr>
        <w:numPr>
          <w:ilvl w:val="0"/>
          <w:numId w:val="0"/>
        </w:numPr>
        <w:tabs>
          <w:tab w:val="left" w:pos="0"/>
        </w:tabs>
        <w:ind w:left="1280" w:leftChars="0"/>
        <w:outlineLvl w:val="9"/>
        <w:rPr>
          <w:rFonts w:hint="default"/>
          <w:highlight w:val="none"/>
          <w:u w:val="none"/>
          <w:lang w:val="en-US" w:eastAsia="zh-CN"/>
        </w:rPr>
      </w:pPr>
    </w:p>
    <w:p w14:paraId="081B0612">
      <w:pPr>
        <w:outlineLvl w:val="9"/>
        <w:rPr>
          <w:rFonts w:hint="eastAsia" w:ascii="Times New Roman" w:hAnsi="Times New Roman" w:eastAsia="方正楷体_GB2312" w:cs="Times New Roman"/>
          <w:b/>
          <w:bCs/>
          <w:color w:val="auto"/>
          <w:sz w:val="34"/>
          <w:szCs w:val="34"/>
          <w:highlight w:val="none"/>
          <w:u w:val="none"/>
          <w:lang w:val="en-US" w:eastAsia="zh-CN"/>
        </w:rPr>
      </w:pPr>
    </w:p>
    <w:p w14:paraId="324FEC61">
      <w:pPr>
        <w:numPr>
          <w:ilvl w:val="0"/>
          <w:numId w:val="0"/>
        </w:numPr>
        <w:tabs>
          <w:tab w:val="left" w:pos="0"/>
        </w:tabs>
        <w:ind w:left="1280" w:leftChars="0"/>
        <w:outlineLvl w:val="9"/>
        <w:rPr>
          <w:rFonts w:hint="default"/>
          <w:highlight w:val="none"/>
          <w:u w:val="none"/>
          <w:lang w:val="en-US" w:eastAsia="zh-CN"/>
        </w:rPr>
      </w:pPr>
    </w:p>
    <w:p w14:paraId="48B3B14D">
      <w:pPr>
        <w:ind w:left="0" w:leftChars="0" w:firstLine="0" w:firstLineChars="0"/>
        <w:outlineLvl w:val="9"/>
        <w:rPr>
          <w:rFonts w:hint="eastAsia" w:ascii="Times New Roman" w:hAnsi="Times New Roman" w:eastAsia="方正楷体_GB2312" w:cs="Times New Roman"/>
          <w:b/>
          <w:bCs/>
          <w:color w:val="auto"/>
          <w:sz w:val="34"/>
          <w:szCs w:val="34"/>
          <w:highlight w:val="none"/>
          <w:u w:val="none"/>
          <w:lang w:val="en-US" w:eastAsia="zh-CN"/>
        </w:rPr>
      </w:pPr>
    </w:p>
    <w:p w14:paraId="4F3DDC94">
      <w:pPr>
        <w:numPr>
          <w:ilvl w:val="0"/>
          <w:numId w:val="0"/>
        </w:numPr>
        <w:tabs>
          <w:tab w:val="left" w:pos="0"/>
        </w:tabs>
        <w:ind w:left="1280" w:leftChars="0"/>
        <w:outlineLvl w:val="9"/>
        <w:rPr>
          <w:rFonts w:hint="default"/>
          <w:highlight w:val="none"/>
          <w:u w:val="none"/>
          <w:lang w:val="en-US" w:eastAsia="zh-CN"/>
        </w:rPr>
      </w:pPr>
    </w:p>
    <w:p w14:paraId="30691FC4">
      <w:pPr>
        <w:ind w:left="0" w:leftChars="0" w:firstLine="0" w:firstLineChars="0"/>
        <w:outlineLvl w:val="9"/>
        <w:rPr>
          <w:rFonts w:hint="eastAsia" w:ascii="Times New Roman" w:hAnsi="Times New Roman" w:eastAsia="方正楷体_GB2312" w:cs="Times New Roman"/>
          <w:b/>
          <w:bCs/>
          <w:color w:val="auto"/>
          <w:sz w:val="34"/>
          <w:szCs w:val="34"/>
          <w:highlight w:val="none"/>
          <w:u w:val="none"/>
          <w:lang w:val="en-US" w:eastAsia="zh-CN"/>
        </w:rPr>
      </w:pPr>
    </w:p>
    <w:p w14:paraId="6DBF785D">
      <w:pPr>
        <w:numPr>
          <w:ilvl w:val="0"/>
          <w:numId w:val="0"/>
        </w:numPr>
        <w:tabs>
          <w:tab w:val="left" w:pos="0"/>
        </w:tabs>
        <w:ind w:left="1280" w:leftChars="0"/>
        <w:outlineLvl w:val="9"/>
        <w:rPr>
          <w:rFonts w:hint="default"/>
          <w:highlight w:val="none"/>
          <w:u w:val="none"/>
          <w:lang w:val="en-US" w:eastAsia="zh-CN"/>
        </w:rPr>
      </w:pPr>
    </w:p>
    <w:p w14:paraId="6EECC645">
      <w:pPr>
        <w:outlineLvl w:val="9"/>
        <w:rPr>
          <w:rFonts w:hint="eastAsia" w:ascii="Times New Roman" w:hAnsi="Times New Roman" w:eastAsia="方正楷体_GB2312" w:cs="Times New Roman"/>
          <w:b/>
          <w:bCs/>
          <w:color w:val="auto"/>
          <w:sz w:val="34"/>
          <w:szCs w:val="34"/>
          <w:highlight w:val="none"/>
          <w:u w:val="none"/>
          <w:lang w:val="en-US" w:eastAsia="zh-CN"/>
        </w:rPr>
      </w:pPr>
    </w:p>
    <w:p w14:paraId="586D9DCC">
      <w:pPr>
        <w:numPr>
          <w:ilvl w:val="0"/>
          <w:numId w:val="0"/>
        </w:numPr>
        <w:tabs>
          <w:tab w:val="left" w:pos="0"/>
        </w:tabs>
        <w:ind w:left="1280" w:leftChars="0"/>
        <w:outlineLvl w:val="9"/>
        <w:rPr>
          <w:rFonts w:hint="default"/>
          <w:highlight w:val="none"/>
          <w:u w:val="none"/>
          <w:lang w:val="en-US" w:eastAsia="zh-CN"/>
        </w:rPr>
      </w:pPr>
    </w:p>
    <w:p w14:paraId="0EAF0CDA">
      <w:pPr>
        <w:outlineLvl w:val="9"/>
        <w:rPr>
          <w:rFonts w:hint="eastAsia" w:ascii="Times New Roman" w:hAnsi="Times New Roman" w:eastAsia="方正楷体_GB2312" w:cs="Times New Roman"/>
          <w:b/>
          <w:bCs/>
          <w:color w:val="auto"/>
          <w:sz w:val="34"/>
          <w:szCs w:val="34"/>
          <w:highlight w:val="none"/>
          <w:u w:val="none"/>
          <w:lang w:val="en-US" w:eastAsia="zh-CN"/>
        </w:rPr>
      </w:pPr>
    </w:p>
    <w:p w14:paraId="1C033711">
      <w:pPr>
        <w:bidi w:val="0"/>
        <w:outlineLvl w:val="9"/>
        <w:rPr>
          <w:rFonts w:hint="default"/>
          <w:highlight w:val="none"/>
          <w:u w:val="none"/>
          <w:lang w:val="en-US" w:eastAsia="zh-CN"/>
        </w:rPr>
      </w:pPr>
    </w:p>
    <w:p w14:paraId="510ED557">
      <w:pPr>
        <w:keepNext w:val="0"/>
        <w:keepLines w:val="0"/>
        <w:pageBreakBefore w:val="0"/>
        <w:widowControl w:val="0"/>
        <w:wordWrap/>
        <w:overflowPunct/>
        <w:topLinePunct w:val="0"/>
        <w:autoSpaceDE/>
        <w:autoSpaceDN/>
        <w:bidi w:val="0"/>
        <w:adjustRightInd w:val="0"/>
        <w:snapToGrid w:val="0"/>
        <w:spacing w:beforeLines="0" w:afterLines="0" w:line="264" w:lineRule="auto"/>
        <w:ind w:firstLine="0" w:firstLineChars="0"/>
        <w:jc w:val="center"/>
        <w:textAlignment w:val="auto"/>
        <w:rPr>
          <w:rFonts w:hint="eastAsia" w:ascii="黑体" w:hAnsi="宋体" w:eastAsia="黑体" w:cs="黑体"/>
          <w:color w:val="auto"/>
          <w:sz w:val="32"/>
          <w:szCs w:val="32"/>
          <w:highlight w:val="none"/>
          <w:u w:val="none"/>
          <w:lang w:val="en-US" w:eastAsia="zh-CN" w:bidi="ar"/>
        </w:rPr>
      </w:pPr>
      <w:r>
        <w:rPr>
          <w:rFonts w:hint="eastAsia" w:ascii="黑体" w:hAnsi="宋体" w:eastAsia="黑体" w:cs="黑体"/>
          <w:color w:val="auto"/>
          <w:sz w:val="32"/>
          <w:szCs w:val="32"/>
          <w:highlight w:val="none"/>
          <w:u w:val="none"/>
          <w:lang w:val="en-US" w:eastAsia="zh-CN" w:bidi="ar"/>
        </w:rPr>
        <w:t>英德市农业农村局</w:t>
      </w:r>
    </w:p>
    <w:p w14:paraId="0BB3E590">
      <w:pPr>
        <w:keepNext w:val="0"/>
        <w:keepLines w:val="0"/>
        <w:pageBreakBefore w:val="0"/>
        <w:widowControl w:val="0"/>
        <w:numPr>
          <w:ilvl w:val="-1"/>
          <w:numId w:val="0"/>
        </w:numPr>
        <w:kinsoku/>
        <w:wordWrap/>
        <w:overflowPunct/>
        <w:topLinePunct w:val="0"/>
        <w:autoSpaceDE/>
        <w:autoSpaceDN/>
        <w:bidi w:val="0"/>
        <w:adjustRightInd w:val="0"/>
        <w:snapToGrid w:val="0"/>
        <w:spacing w:after="0" w:line="336" w:lineRule="auto"/>
        <w:ind w:left="0" w:leftChars="0" w:firstLine="0" w:firstLineChars="0"/>
        <w:jc w:val="center"/>
        <w:textAlignment w:val="auto"/>
        <w:outlineLvl w:val="9"/>
        <w:rPr>
          <w:rFonts w:hint="eastAsia" w:ascii="黑体" w:hAnsi="黑体" w:eastAsia="黑体" w:cs="黑体"/>
          <w:color w:val="auto"/>
          <w:sz w:val="32"/>
          <w:szCs w:val="32"/>
          <w:highlight w:val="none"/>
          <w:u w:val="none"/>
          <w:lang w:val="en-US" w:eastAsia="zh-CN"/>
        </w:rPr>
      </w:pPr>
      <w:r>
        <w:rPr>
          <w:rFonts w:hint="eastAsia" w:ascii="黑体" w:hAnsi="宋体" w:eastAsia="黑体" w:cs="黑体"/>
          <w:snapToGrid/>
          <w:color w:val="auto"/>
          <w:kern w:val="2"/>
          <w:sz w:val="32"/>
          <w:szCs w:val="32"/>
          <w:highlight w:val="none"/>
          <w:u w:val="none"/>
          <w:lang w:val="en-US" w:eastAsia="zh-CN" w:bidi="ar"/>
        </w:rPr>
        <w:t>二〇二六年七月</w:t>
      </w:r>
    </w:p>
    <w:p w14:paraId="7A67B507">
      <w:pPr>
        <w:pStyle w:val="11"/>
        <w:keepNext w:val="0"/>
        <w:keepLines w:val="0"/>
        <w:pageBreakBefore w:val="0"/>
        <w:widowControl w:val="0"/>
        <w:kinsoku w:val="0"/>
        <w:wordWrap/>
        <w:overflowPunct/>
        <w:topLinePunct w:val="0"/>
        <w:autoSpaceDE/>
        <w:autoSpaceDN/>
        <w:bidi w:val="0"/>
        <w:adjustRightInd/>
        <w:snapToGrid/>
        <w:spacing w:line="560" w:lineRule="exact"/>
        <w:ind w:firstLine="0" w:firstLineChars="0"/>
        <w:jc w:val="center"/>
        <w:textAlignment w:val="auto"/>
        <w:rPr>
          <w:rFonts w:hint="eastAsia"/>
          <w:color w:val="auto"/>
          <w:highlight w:val="none"/>
          <w:u w:val="none"/>
          <w:lang w:val="en-US" w:eastAsia="zh-CN"/>
        </w:rPr>
        <w:sectPr>
          <w:pgSz w:w="11906" w:h="16838"/>
          <w:pgMar w:top="1440" w:right="1800" w:bottom="1440" w:left="1800" w:header="851" w:footer="992" w:gutter="0"/>
          <w:pgNumType w:fmt="lowerRoman"/>
          <w:cols w:space="425" w:num="1"/>
          <w:docGrid w:type="lines" w:linePitch="312" w:charSpace="0"/>
        </w:sectPr>
      </w:pPr>
    </w:p>
    <w:sdt>
      <w:sdtPr>
        <w:rPr>
          <w:rFonts w:hint="eastAsia" w:ascii="黑体" w:hAnsi="黑体" w:eastAsia="黑体" w:cs="黑体"/>
          <w:kern w:val="2"/>
          <w:sz w:val="44"/>
          <w:szCs w:val="44"/>
          <w:lang w:val="en-US" w:eastAsia="zh-CN" w:bidi="ar-SA"/>
        </w:rPr>
        <w:id w:val="147467046"/>
        <w15:color w:val="DBDBDB"/>
        <w:docPartObj>
          <w:docPartGallery w:val="Table of Contents"/>
          <w:docPartUnique/>
        </w:docPartObj>
      </w:sdtPr>
      <w:sdtEndPr>
        <w:rPr>
          <w:rFonts w:hint="default" w:ascii="Times New Roman" w:hAnsi="Times New Roman" w:eastAsia="仿宋_GB2312" w:cstheme="minorBidi"/>
          <w:kern w:val="2"/>
          <w:sz w:val="32"/>
          <w:szCs w:val="24"/>
          <w:lang w:val="en-US" w:eastAsia="zh-CN" w:bidi="ar-SA"/>
        </w:rPr>
      </w:sdtEndPr>
      <w:sdtContent>
        <w:p w14:paraId="62EC4E3C">
          <w:pPr>
            <w:spacing w:before="0" w:beforeLines="0" w:after="0" w:afterLines="0" w:line="240" w:lineRule="auto"/>
            <w:ind w:left="0" w:leftChars="0" w:right="0" w:rightChars="0" w:firstLine="0" w:firstLineChars="0"/>
            <w:jc w:val="center"/>
            <w:outlineLvl w:val="0"/>
            <w:rPr>
              <w:rFonts w:hint="eastAsia" w:ascii="黑体" w:hAnsi="黑体" w:eastAsia="黑体" w:cs="黑体"/>
              <w:sz w:val="44"/>
              <w:szCs w:val="44"/>
            </w:rPr>
          </w:pPr>
          <w:bookmarkStart w:id="0" w:name="_Toc20014"/>
          <w:bookmarkStart w:id="1" w:name="_Toc20441"/>
          <w:bookmarkStart w:id="2" w:name="_Toc20057"/>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bookmarkEnd w:id="0"/>
          <w:bookmarkEnd w:id="1"/>
          <w:bookmarkEnd w:id="2"/>
        </w:p>
        <w:p w14:paraId="571D4691">
          <w:pPr>
            <w:pStyle w:val="9"/>
            <w:tabs>
              <w:tab w:val="right" w:leader="dot" w:pos="8306"/>
            </w:tabs>
            <w:ind w:firstLine="0" w:firstLineChars="0"/>
          </w:pPr>
          <w:r>
            <w:rPr>
              <w:rFonts w:hint="default"/>
              <w:lang w:val="en-US" w:eastAsia="zh-CN"/>
            </w:rPr>
            <w:fldChar w:fldCharType="begin"/>
          </w:r>
          <w:r>
            <w:rPr>
              <w:rFonts w:hint="default"/>
              <w:lang w:val="en-US" w:eastAsia="zh-CN"/>
            </w:rPr>
            <w:instrText xml:space="preserve">TOC \o "1-3" \h \u </w:instrText>
          </w:r>
          <w:r>
            <w:rPr>
              <w:rFonts w:hint="default"/>
              <w:lang w:val="en-US" w:eastAsia="zh-CN"/>
            </w:rPr>
            <w:fldChar w:fldCharType="separate"/>
          </w:r>
          <w:r>
            <w:rPr>
              <w:rFonts w:hint="default"/>
              <w:lang w:val="en-US" w:eastAsia="zh-CN"/>
            </w:rPr>
            <w:fldChar w:fldCharType="begin"/>
          </w:r>
          <w:r>
            <w:rPr>
              <w:rFonts w:hint="default"/>
              <w:lang w:val="en-US" w:eastAsia="zh-CN"/>
            </w:rPr>
            <w:instrText xml:space="preserve"> HYPERLINK \l _Toc10633 </w:instrText>
          </w:r>
          <w:r>
            <w:rPr>
              <w:rFonts w:hint="default"/>
              <w:lang w:val="en-US" w:eastAsia="zh-CN"/>
            </w:rPr>
            <w:fldChar w:fldCharType="separate"/>
          </w:r>
          <w:r>
            <w:rPr>
              <w:rFonts w:hint="eastAsia" w:ascii="黑体" w:hAnsi="黑体" w:eastAsia="黑体" w:cs="黑体"/>
              <w:highlight w:val="none"/>
              <w:lang w:val="en-US" w:eastAsia="zh-CN"/>
            </w:rPr>
            <w:t>一、总体要求</w:t>
          </w:r>
          <w:r>
            <w:tab/>
          </w:r>
          <w:r>
            <w:fldChar w:fldCharType="begin"/>
          </w:r>
          <w:r>
            <w:instrText xml:space="preserve"> PAGEREF _Toc10633 \h </w:instrText>
          </w:r>
          <w:r>
            <w:fldChar w:fldCharType="separate"/>
          </w:r>
          <w:r>
            <w:t>1</w:t>
          </w:r>
          <w:r>
            <w:fldChar w:fldCharType="end"/>
          </w:r>
          <w:r>
            <w:rPr>
              <w:rFonts w:hint="default"/>
              <w:lang w:val="en-US" w:eastAsia="zh-CN"/>
            </w:rPr>
            <w:fldChar w:fldCharType="end"/>
          </w:r>
        </w:p>
        <w:p w14:paraId="055B3EAF">
          <w:pPr>
            <w:pStyle w:val="9"/>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_Toc31827 </w:instrText>
          </w:r>
          <w:r>
            <w:rPr>
              <w:rFonts w:hint="default"/>
              <w:lang w:val="en-US" w:eastAsia="zh-CN"/>
            </w:rPr>
            <w:fldChar w:fldCharType="separate"/>
          </w:r>
          <w:r>
            <w:rPr>
              <w:rFonts w:hint="eastAsia" w:ascii="黑体" w:hAnsi="黑体" w:eastAsia="黑体" w:cs="黑体"/>
              <w:highlight w:val="none"/>
              <w:lang w:val="en-US" w:eastAsia="zh-CN"/>
            </w:rPr>
            <w:t>二、提升农业综合生产能力和质量效益，夯实农产品稳产保供根基</w:t>
          </w:r>
          <w:r>
            <w:tab/>
          </w:r>
          <w:r>
            <w:fldChar w:fldCharType="begin"/>
          </w:r>
          <w:r>
            <w:instrText xml:space="preserve"> PAGEREF _Toc31827 \h </w:instrText>
          </w:r>
          <w:r>
            <w:fldChar w:fldCharType="separate"/>
          </w:r>
          <w:r>
            <w:t>3</w:t>
          </w:r>
          <w:r>
            <w:fldChar w:fldCharType="end"/>
          </w:r>
          <w:r>
            <w:rPr>
              <w:rFonts w:hint="default"/>
              <w:lang w:val="en-US" w:eastAsia="zh-CN"/>
            </w:rPr>
            <w:fldChar w:fldCharType="end"/>
          </w:r>
        </w:p>
        <w:p w14:paraId="1C59D8A4">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_Toc26394 </w:instrText>
          </w:r>
          <w:r>
            <w:rPr>
              <w:rFonts w:hint="default"/>
              <w:lang w:val="en-US" w:eastAsia="zh-CN"/>
            </w:rPr>
            <w:fldChar w:fldCharType="separate"/>
          </w:r>
          <w:r>
            <w:rPr>
              <w:rFonts w:hint="eastAsia" w:ascii="方正楷体_GB2312" w:hAnsi="方正楷体_GB2312" w:eastAsia="方正楷体_GB2312" w:cs="方正楷体_GB2312"/>
              <w:bCs w:val="0"/>
              <w:lang w:val="en-US" w:eastAsia="zh-CN"/>
            </w:rPr>
            <w:t xml:space="preserve">（一） </w:t>
          </w:r>
          <w:r>
            <w:rPr>
              <w:rFonts w:hint="eastAsia" w:ascii="方正楷体_GB2312" w:hAnsi="方正楷体_GB2312" w:eastAsia="方正楷体_GB2312" w:cs="方正楷体_GB2312"/>
              <w:bCs w:val="0"/>
              <w:highlight w:val="none"/>
              <w:lang w:val="en-US" w:eastAsia="zh-CN"/>
            </w:rPr>
            <w:t>增强粮食和重要农产品供给保障能力</w:t>
          </w:r>
          <w:r>
            <w:tab/>
          </w:r>
          <w:r>
            <w:fldChar w:fldCharType="begin"/>
          </w:r>
          <w:r>
            <w:instrText xml:space="preserve"> PAGEREF _Toc26394 \h </w:instrText>
          </w:r>
          <w:r>
            <w:fldChar w:fldCharType="separate"/>
          </w:r>
          <w:r>
            <w:t>3</w:t>
          </w:r>
          <w:r>
            <w:fldChar w:fldCharType="end"/>
          </w:r>
          <w:r>
            <w:rPr>
              <w:rFonts w:hint="default"/>
              <w:lang w:val="en-US" w:eastAsia="zh-CN"/>
            </w:rPr>
            <w:fldChar w:fldCharType="end"/>
          </w:r>
        </w:p>
        <w:p w14:paraId="5A5D9F2E">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_Toc2114 </w:instrText>
          </w:r>
          <w:r>
            <w:rPr>
              <w:rFonts w:hint="default"/>
              <w:lang w:val="en-US" w:eastAsia="zh-CN"/>
            </w:rPr>
            <w:fldChar w:fldCharType="separate"/>
          </w:r>
          <w:r>
            <w:rPr>
              <w:rFonts w:hint="eastAsia" w:ascii="方正楷体_GB2312" w:hAnsi="方正楷体_GB2312" w:eastAsia="方正楷体_GB2312" w:cs="方正楷体_GB2312"/>
              <w:bCs w:val="0"/>
              <w:lang w:val="en-US" w:eastAsia="zh-CN"/>
            </w:rPr>
            <w:t xml:space="preserve">（二） </w:t>
          </w:r>
          <w:r>
            <w:rPr>
              <w:rFonts w:hint="eastAsia" w:ascii="方正楷体_GB2312" w:hAnsi="方正楷体_GB2312" w:eastAsia="方正楷体_GB2312" w:cs="方正楷体_GB2312"/>
              <w:bCs w:val="0"/>
              <w:highlight w:val="none"/>
              <w:lang w:val="en-US" w:eastAsia="zh-CN"/>
            </w:rPr>
            <w:t>构建多元化食物供给体系</w:t>
          </w:r>
          <w:r>
            <w:tab/>
          </w:r>
          <w:r>
            <w:fldChar w:fldCharType="begin"/>
          </w:r>
          <w:r>
            <w:instrText xml:space="preserve"> PAGEREF _Toc2114 \h </w:instrText>
          </w:r>
          <w:r>
            <w:fldChar w:fldCharType="separate"/>
          </w:r>
          <w:r>
            <w:t>3</w:t>
          </w:r>
          <w:r>
            <w:fldChar w:fldCharType="end"/>
          </w:r>
          <w:r>
            <w:rPr>
              <w:rFonts w:hint="default"/>
              <w:lang w:val="en-US" w:eastAsia="zh-CN"/>
            </w:rPr>
            <w:fldChar w:fldCharType="end"/>
          </w:r>
        </w:p>
        <w:p w14:paraId="5C02C00B">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_Toc8064 </w:instrText>
          </w:r>
          <w:r>
            <w:rPr>
              <w:rFonts w:hint="default"/>
              <w:lang w:val="en-US" w:eastAsia="zh-CN"/>
            </w:rPr>
            <w:fldChar w:fldCharType="separate"/>
          </w:r>
          <w:r>
            <w:rPr>
              <w:rFonts w:hint="eastAsia" w:ascii="方正楷体_GB2312" w:hAnsi="方正楷体_GB2312" w:eastAsia="方正楷体_GB2312" w:cs="方正楷体_GB2312"/>
              <w:bCs w:val="0"/>
              <w:lang w:val="en-US" w:eastAsia="zh-CN"/>
            </w:rPr>
            <w:t xml:space="preserve">（三） </w:t>
          </w:r>
          <w:r>
            <w:rPr>
              <w:rFonts w:hint="eastAsia" w:ascii="方正楷体_GB2312" w:hAnsi="方正楷体_GB2312" w:eastAsia="方正楷体_GB2312" w:cs="方正楷体_GB2312"/>
              <w:bCs w:val="0"/>
              <w:highlight w:val="none"/>
              <w:lang w:val="en-US" w:eastAsia="zh-CN"/>
            </w:rPr>
            <w:t>强化耕地保护和质量提升</w:t>
          </w:r>
          <w:r>
            <w:tab/>
          </w:r>
          <w:r>
            <w:fldChar w:fldCharType="begin"/>
          </w:r>
          <w:r>
            <w:instrText xml:space="preserve"> PAGEREF _Toc8064 \h </w:instrText>
          </w:r>
          <w:r>
            <w:fldChar w:fldCharType="separate"/>
          </w:r>
          <w:r>
            <w:t>4</w:t>
          </w:r>
          <w:r>
            <w:fldChar w:fldCharType="end"/>
          </w:r>
          <w:r>
            <w:rPr>
              <w:rFonts w:hint="default"/>
              <w:lang w:val="en-US" w:eastAsia="zh-CN"/>
            </w:rPr>
            <w:fldChar w:fldCharType="end"/>
          </w:r>
        </w:p>
        <w:p w14:paraId="18E6ADEB">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_Toc19478 </w:instrText>
          </w:r>
          <w:r>
            <w:rPr>
              <w:rFonts w:hint="default"/>
              <w:lang w:val="en-US" w:eastAsia="zh-CN"/>
            </w:rPr>
            <w:fldChar w:fldCharType="separate"/>
          </w:r>
          <w:r>
            <w:rPr>
              <w:rFonts w:hint="eastAsia" w:ascii="方正楷体_GB2312" w:hAnsi="方正楷体_GB2312" w:eastAsia="方正楷体_GB2312" w:cs="方正楷体_GB2312"/>
              <w:bCs w:val="0"/>
              <w:lang w:val="en-US" w:eastAsia="zh-CN"/>
            </w:rPr>
            <w:t xml:space="preserve">（四） </w:t>
          </w:r>
          <w:r>
            <w:rPr>
              <w:rFonts w:hint="eastAsia" w:ascii="方正楷体_GB2312" w:hAnsi="方正楷体_GB2312" w:eastAsia="方正楷体_GB2312" w:cs="方正楷体_GB2312"/>
              <w:bCs w:val="0"/>
              <w:highlight w:val="none"/>
              <w:lang w:val="en-US" w:eastAsia="zh-CN"/>
            </w:rPr>
            <w:t>全面增强农业防灾减灾能力</w:t>
          </w:r>
          <w:r>
            <w:tab/>
          </w:r>
          <w:r>
            <w:fldChar w:fldCharType="begin"/>
          </w:r>
          <w:r>
            <w:instrText xml:space="preserve"> PAGEREF _Toc19478 \h </w:instrText>
          </w:r>
          <w:r>
            <w:fldChar w:fldCharType="separate"/>
          </w:r>
          <w:r>
            <w:t>4</w:t>
          </w:r>
          <w:r>
            <w:fldChar w:fldCharType="end"/>
          </w:r>
          <w:r>
            <w:rPr>
              <w:rFonts w:hint="default"/>
              <w:lang w:val="en-US" w:eastAsia="zh-CN"/>
            </w:rPr>
            <w:fldChar w:fldCharType="end"/>
          </w:r>
        </w:p>
        <w:p w14:paraId="7AAF715A">
          <w:pPr>
            <w:pStyle w:val="9"/>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_Toc2073 </w:instrText>
          </w:r>
          <w:r>
            <w:rPr>
              <w:rFonts w:hint="default"/>
              <w:lang w:val="en-US" w:eastAsia="zh-CN"/>
            </w:rPr>
            <w:fldChar w:fldCharType="separate"/>
          </w:r>
          <w:r>
            <w:rPr>
              <w:rFonts w:hint="eastAsia" w:ascii="黑体" w:hAnsi="黑体" w:eastAsia="黑体" w:cs="黑体"/>
              <w:szCs w:val="28"/>
              <w:highlight w:val="none"/>
              <w:lang w:val="en-US" w:eastAsia="zh-CN"/>
            </w:rPr>
            <w:t>三、深化构建“2+2+N”特色农业产业体系，把农业做成现代化大产业</w:t>
          </w:r>
          <w:r>
            <w:tab/>
          </w:r>
          <w:r>
            <w:fldChar w:fldCharType="begin"/>
          </w:r>
          <w:r>
            <w:instrText xml:space="preserve"> PAGEREF _Toc2073 \h </w:instrText>
          </w:r>
          <w:r>
            <w:fldChar w:fldCharType="separate"/>
          </w:r>
          <w:r>
            <w:t>5</w:t>
          </w:r>
          <w:r>
            <w:fldChar w:fldCharType="end"/>
          </w:r>
          <w:r>
            <w:rPr>
              <w:rFonts w:hint="default"/>
              <w:lang w:val="en-US" w:eastAsia="zh-CN"/>
            </w:rPr>
            <w:fldChar w:fldCharType="end"/>
          </w:r>
        </w:p>
        <w:p w14:paraId="598E2844">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_Toc1201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（五） </w:t>
          </w:r>
          <w:r>
            <w:rPr>
              <w:rFonts w:hint="eastAsia" w:ascii="方正楷体_GB2312" w:hAnsi="方正楷体_GB2312" w:eastAsia="方正楷体_GB2312" w:cs="方正楷体_GB2312"/>
              <w:i w:val="0"/>
              <w:iCs w:val="0"/>
              <w:caps w:val="0"/>
              <w:spacing w:val="0"/>
              <w:kern w:val="2"/>
              <w:szCs w:val="32"/>
              <w:highlight w:val="none"/>
              <w:shd w:val="clear" w:fill="auto"/>
              <w:lang w:val="en-US" w:eastAsia="zh-CN" w:bidi="ar"/>
            </w:rPr>
            <w:t>培育壮大“2+2+N”特色农业产业集群</w:t>
          </w:r>
          <w:r>
            <w:tab/>
          </w:r>
          <w:r>
            <w:fldChar w:fldCharType="begin"/>
          </w:r>
          <w:r>
            <w:instrText xml:space="preserve"> PAGEREF _Toc1201 \h </w:instrText>
          </w:r>
          <w:r>
            <w:fldChar w:fldCharType="separate"/>
          </w:r>
          <w:r>
            <w:t>5</w:t>
          </w:r>
          <w:r>
            <w:fldChar w:fldCharType="end"/>
          </w:r>
          <w:r>
            <w:rPr>
              <w:rFonts w:hint="default"/>
              <w:lang w:val="en-US" w:eastAsia="zh-CN"/>
            </w:rPr>
            <w:fldChar w:fldCharType="end"/>
          </w:r>
        </w:p>
        <w:p w14:paraId="1562F3B8">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_Toc23347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（六） </w:t>
          </w:r>
          <w:r>
            <w:rPr>
              <w:rFonts w:hint="eastAsia" w:ascii="方正楷体_GB2312" w:hAnsi="方正楷体_GB2312" w:eastAsia="方正楷体_GB2312" w:cs="方正楷体_GB2312"/>
              <w:bCs w:val="0"/>
              <w:szCs w:val="32"/>
              <w:highlight w:val="none"/>
              <w:lang w:val="en-US" w:eastAsia="zh-CN"/>
            </w:rPr>
            <w:t>推动农产品加工流通优化升级</w:t>
          </w:r>
          <w:r>
            <w:tab/>
          </w:r>
          <w:r>
            <w:fldChar w:fldCharType="begin"/>
          </w:r>
          <w:r>
            <w:instrText xml:space="preserve"> PAGEREF _Toc23347 \h </w:instrText>
          </w:r>
          <w:r>
            <w:fldChar w:fldCharType="separate"/>
          </w:r>
          <w:r>
            <w:t>6</w:t>
          </w:r>
          <w:r>
            <w:fldChar w:fldCharType="end"/>
          </w:r>
          <w:r>
            <w:rPr>
              <w:rFonts w:hint="default"/>
              <w:lang w:val="en-US" w:eastAsia="zh-CN"/>
            </w:rPr>
            <w:fldChar w:fldCharType="end"/>
          </w:r>
        </w:p>
        <w:p w14:paraId="0F664CBD">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_Toc6204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（七） </w:t>
          </w:r>
          <w:r>
            <w:rPr>
              <w:rFonts w:hint="eastAsia" w:ascii="方正楷体_GB2312" w:hAnsi="方正楷体_GB2312" w:eastAsia="方正楷体_GB2312" w:cs="方正楷体_GB2312"/>
              <w:bCs w:val="0"/>
              <w:szCs w:val="32"/>
              <w:highlight w:val="none"/>
              <w:lang w:val="en-US" w:eastAsia="zh-CN"/>
            </w:rPr>
            <w:t>推进发展绿色农业和质量农业</w:t>
          </w:r>
          <w:r>
            <w:tab/>
          </w:r>
          <w:r>
            <w:fldChar w:fldCharType="begin"/>
          </w:r>
          <w:r>
            <w:instrText xml:space="preserve"> PAGEREF _Toc6204 \h </w:instrText>
          </w:r>
          <w:r>
            <w:fldChar w:fldCharType="separate"/>
          </w:r>
          <w:r>
            <w:t>6</w:t>
          </w:r>
          <w:r>
            <w:fldChar w:fldCharType="end"/>
          </w:r>
          <w:r>
            <w:rPr>
              <w:rFonts w:hint="default"/>
              <w:lang w:val="en-US" w:eastAsia="zh-CN"/>
            </w:rPr>
            <w:fldChar w:fldCharType="end"/>
          </w:r>
        </w:p>
        <w:p w14:paraId="72964502">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_Toc28451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（八） </w:t>
          </w:r>
          <w:r>
            <w:rPr>
              <w:rFonts w:hint="eastAsia" w:ascii="方正楷体_GB2312" w:hAnsi="方正楷体_GB2312" w:eastAsia="方正楷体_GB2312" w:cs="方正楷体_GB2312"/>
              <w:bCs w:val="0"/>
              <w:szCs w:val="32"/>
              <w:highlight w:val="none"/>
              <w:lang w:val="en-US" w:eastAsia="zh-CN"/>
            </w:rPr>
            <w:t>大力发展品牌农业</w:t>
          </w:r>
          <w:r>
            <w:tab/>
          </w:r>
          <w:r>
            <w:fldChar w:fldCharType="begin"/>
          </w:r>
          <w:r>
            <w:instrText xml:space="preserve"> PAGEREF _Toc28451 \h </w:instrText>
          </w:r>
          <w:r>
            <w:fldChar w:fldCharType="separate"/>
          </w:r>
          <w:r>
            <w:t>7</w:t>
          </w:r>
          <w:r>
            <w:fldChar w:fldCharType="end"/>
          </w:r>
          <w:r>
            <w:rPr>
              <w:rFonts w:hint="default"/>
              <w:lang w:val="en-US" w:eastAsia="zh-CN"/>
            </w:rPr>
            <w:fldChar w:fldCharType="end"/>
          </w:r>
        </w:p>
        <w:p w14:paraId="3E2DCB36">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_Toc4447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（九） </w:t>
          </w:r>
          <w:r>
            <w:rPr>
              <w:rFonts w:hint="eastAsia" w:ascii="方正楷体_GB2312" w:hAnsi="方正楷体_GB2312" w:eastAsia="方正楷体_GB2312" w:cs="方正楷体_GB2312"/>
              <w:bCs w:val="0"/>
              <w:szCs w:val="32"/>
              <w:highlight w:val="none"/>
              <w:lang w:val="en-US" w:eastAsia="zh-CN"/>
            </w:rPr>
            <w:t>打造“农业+”乡村消费新业态</w:t>
          </w:r>
          <w:r>
            <w:tab/>
          </w:r>
          <w:r>
            <w:fldChar w:fldCharType="begin"/>
          </w:r>
          <w:r>
            <w:instrText xml:space="preserve"> PAGEREF _Toc4447 \h </w:instrText>
          </w:r>
          <w:r>
            <w:fldChar w:fldCharType="separate"/>
          </w:r>
          <w:r>
            <w:t>7</w:t>
          </w:r>
          <w:r>
            <w:fldChar w:fldCharType="end"/>
          </w:r>
          <w:r>
            <w:rPr>
              <w:rFonts w:hint="default"/>
              <w:lang w:val="en-US" w:eastAsia="zh-CN"/>
            </w:rPr>
            <w:fldChar w:fldCharType="end"/>
          </w:r>
        </w:p>
        <w:p w14:paraId="51B879E6">
          <w:pPr>
            <w:pStyle w:val="9"/>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_Toc773 </w:instrText>
          </w:r>
          <w:r>
            <w:rPr>
              <w:rFonts w:hint="default"/>
              <w:lang w:val="en-US" w:eastAsia="zh-CN"/>
            </w:rPr>
            <w:fldChar w:fldCharType="separate"/>
          </w:r>
          <w:r>
            <w:rPr>
              <w:rFonts w:hint="eastAsia" w:ascii="黑体" w:hAnsi="黑体" w:eastAsia="黑体" w:cs="黑体"/>
              <w:szCs w:val="28"/>
              <w:highlight w:val="none"/>
              <w:lang w:val="en-US" w:eastAsia="zh-CN"/>
            </w:rPr>
            <w:t>四、强化农业科技和装备支撑，推进科技农业发展</w:t>
          </w:r>
          <w:r>
            <w:tab/>
          </w:r>
          <w:r>
            <w:fldChar w:fldCharType="begin"/>
          </w:r>
          <w:r>
            <w:instrText xml:space="preserve"> PAGEREF _Toc773 \h </w:instrText>
          </w:r>
          <w:r>
            <w:fldChar w:fldCharType="separate"/>
          </w:r>
          <w:r>
            <w:t>11</w:t>
          </w:r>
          <w:r>
            <w:fldChar w:fldCharType="end"/>
          </w:r>
          <w:r>
            <w:rPr>
              <w:rFonts w:hint="default"/>
              <w:lang w:val="en-US" w:eastAsia="zh-CN"/>
            </w:rPr>
            <w:fldChar w:fldCharType="end"/>
          </w:r>
        </w:p>
        <w:p w14:paraId="7D612066">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_Toc32112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（十） </w:t>
          </w:r>
          <w:r>
            <w:rPr>
              <w:rFonts w:hint="eastAsia" w:ascii="方正楷体_GB2312" w:hAnsi="方正楷体_GB2312" w:eastAsia="方正楷体_GB2312" w:cs="方正楷体_GB2312"/>
              <w:bCs w:val="0"/>
              <w:szCs w:val="32"/>
              <w:highlight w:val="none"/>
              <w:lang w:val="en-US" w:eastAsia="zh-CN"/>
            </w:rPr>
            <w:t>加快补齐主要农作物全程机械化短板</w:t>
          </w:r>
          <w:r>
            <w:tab/>
          </w:r>
          <w:r>
            <w:fldChar w:fldCharType="begin"/>
          </w:r>
          <w:r>
            <w:instrText xml:space="preserve"> PAGEREF _Toc32112 \h </w:instrText>
          </w:r>
          <w:r>
            <w:fldChar w:fldCharType="separate"/>
          </w:r>
          <w:r>
            <w:t>11</w:t>
          </w:r>
          <w:r>
            <w:fldChar w:fldCharType="end"/>
          </w:r>
          <w:r>
            <w:rPr>
              <w:rFonts w:hint="default"/>
              <w:lang w:val="en-US" w:eastAsia="zh-CN"/>
            </w:rPr>
            <w:fldChar w:fldCharType="end"/>
          </w:r>
        </w:p>
        <w:p w14:paraId="6EA137CA">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_Toc22215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（十一） </w:t>
          </w:r>
          <w:r>
            <w:rPr>
              <w:rFonts w:hint="eastAsia" w:ascii="方正楷体_GB2312" w:hAnsi="方正楷体_GB2312" w:eastAsia="方正楷体_GB2312" w:cs="方正楷体_GB2312"/>
              <w:bCs w:val="0"/>
              <w:szCs w:val="32"/>
              <w:highlight w:val="none"/>
              <w:lang w:val="en-US" w:eastAsia="zh-CN"/>
            </w:rPr>
            <w:t>持续推进种业振兴</w:t>
          </w:r>
          <w:r>
            <w:tab/>
          </w:r>
          <w:r>
            <w:fldChar w:fldCharType="begin"/>
          </w:r>
          <w:r>
            <w:instrText xml:space="preserve"> PAGEREF _Toc22215 \h </w:instrText>
          </w:r>
          <w:r>
            <w:fldChar w:fldCharType="separate"/>
          </w:r>
          <w:r>
            <w:t>11</w:t>
          </w:r>
          <w:r>
            <w:fldChar w:fldCharType="end"/>
          </w:r>
          <w:r>
            <w:rPr>
              <w:rFonts w:hint="default"/>
              <w:lang w:val="en-US" w:eastAsia="zh-CN"/>
            </w:rPr>
            <w:fldChar w:fldCharType="end"/>
          </w:r>
        </w:p>
        <w:p w14:paraId="5D5B315F">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_Toc3311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（十二） </w:t>
          </w:r>
          <w:r>
            <w:rPr>
              <w:rFonts w:hint="eastAsia" w:ascii="方正楷体_GB2312" w:hAnsi="方正楷体_GB2312" w:eastAsia="方正楷体_GB2312" w:cs="方正楷体_GB2312"/>
              <w:bCs w:val="0"/>
              <w:szCs w:val="32"/>
              <w:highlight w:val="none"/>
              <w:lang w:val="en-US" w:eastAsia="zh-CN"/>
            </w:rPr>
            <w:t>拓展智慧农业发展场景</w:t>
          </w:r>
          <w:r>
            <w:tab/>
          </w:r>
          <w:r>
            <w:fldChar w:fldCharType="begin"/>
          </w:r>
          <w:r>
            <w:instrText xml:space="preserve"> PAGEREF _Toc3311 \h </w:instrText>
          </w:r>
          <w:r>
            <w:fldChar w:fldCharType="separate"/>
          </w:r>
          <w:r>
            <w:t>12</w:t>
          </w:r>
          <w:r>
            <w:fldChar w:fldCharType="end"/>
          </w:r>
          <w:r>
            <w:rPr>
              <w:rFonts w:hint="default"/>
              <w:lang w:val="en-US" w:eastAsia="zh-CN"/>
            </w:rPr>
            <w:fldChar w:fldCharType="end"/>
          </w:r>
        </w:p>
        <w:p w14:paraId="46401D6C">
          <w:pPr>
            <w:pStyle w:val="9"/>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_Toc4128 </w:instrText>
          </w:r>
          <w:r>
            <w:rPr>
              <w:rFonts w:hint="default"/>
              <w:lang w:val="en-US" w:eastAsia="zh-CN"/>
            </w:rPr>
            <w:fldChar w:fldCharType="separate"/>
          </w:r>
          <w:r>
            <w:rPr>
              <w:rFonts w:hint="eastAsia" w:eastAsia="黑体" w:cs="Times New Roman"/>
              <w:bCs w:val="0"/>
              <w:kern w:val="2"/>
              <w:szCs w:val="28"/>
              <w:highlight w:val="none"/>
              <w:lang w:val="en-US" w:eastAsia="zh-CN" w:bidi="ar-SA"/>
            </w:rPr>
            <w:t>五、完善现代农业经营体系，促进小农户和现代农业发展有机衔接</w:t>
          </w:r>
          <w:r>
            <w:tab/>
          </w:r>
          <w:r>
            <w:fldChar w:fldCharType="begin"/>
          </w:r>
          <w:r>
            <w:instrText xml:space="preserve"> PAGEREF _Toc4128 \h </w:instrText>
          </w:r>
          <w:r>
            <w:fldChar w:fldCharType="separate"/>
          </w:r>
          <w:r>
            <w:t>13</w:t>
          </w:r>
          <w:r>
            <w:fldChar w:fldCharType="end"/>
          </w:r>
          <w:r>
            <w:rPr>
              <w:rFonts w:hint="default"/>
              <w:lang w:val="en-US" w:eastAsia="zh-CN"/>
            </w:rPr>
            <w:fldChar w:fldCharType="end"/>
          </w:r>
        </w:p>
        <w:p w14:paraId="6F8FE674">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_Toc4356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（十三） </w:t>
          </w:r>
          <w:r>
            <w:rPr>
              <w:rFonts w:hint="eastAsia" w:ascii="方正楷体_GB2312" w:hAnsi="方正楷体_GB2312" w:eastAsia="方正楷体_GB2312" w:cs="方正楷体_GB2312"/>
              <w:bCs w:val="0"/>
              <w:szCs w:val="32"/>
              <w:highlight w:val="none"/>
              <w:lang w:val="en-US" w:eastAsia="zh-CN"/>
            </w:rPr>
            <w:t>提高新型现代农业经营主体发展质量</w:t>
          </w:r>
          <w:r>
            <w:tab/>
          </w:r>
          <w:r>
            <w:fldChar w:fldCharType="begin"/>
          </w:r>
          <w:r>
            <w:instrText xml:space="preserve"> PAGEREF _Toc4356 \h </w:instrText>
          </w:r>
          <w:r>
            <w:fldChar w:fldCharType="separate"/>
          </w:r>
          <w:r>
            <w:t>13</w:t>
          </w:r>
          <w:r>
            <w:fldChar w:fldCharType="end"/>
          </w:r>
          <w:r>
            <w:rPr>
              <w:rFonts w:hint="default"/>
              <w:lang w:val="en-US" w:eastAsia="zh-CN"/>
            </w:rPr>
            <w:fldChar w:fldCharType="end"/>
          </w:r>
        </w:p>
        <w:p w14:paraId="61AF121B">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_Toc15519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（十四） </w:t>
          </w:r>
          <w:r>
            <w:rPr>
              <w:rFonts w:hint="eastAsia" w:ascii="方正楷体_GB2312" w:hAnsi="方正楷体_GB2312" w:eastAsia="方正楷体_GB2312" w:cs="方正楷体_GB2312"/>
              <w:bCs w:val="0"/>
              <w:szCs w:val="32"/>
              <w:highlight w:val="none"/>
              <w:lang w:val="en-US" w:eastAsia="zh-CN"/>
            </w:rPr>
            <w:t>完善便捷的农业社会化服务体系</w:t>
          </w:r>
          <w:r>
            <w:tab/>
          </w:r>
          <w:r>
            <w:fldChar w:fldCharType="begin"/>
          </w:r>
          <w:r>
            <w:instrText xml:space="preserve"> PAGEREF _Toc15519 \h </w:instrText>
          </w:r>
          <w:r>
            <w:fldChar w:fldCharType="separate"/>
          </w:r>
          <w:r>
            <w:t>13</w:t>
          </w:r>
          <w:r>
            <w:fldChar w:fldCharType="end"/>
          </w:r>
          <w:r>
            <w:rPr>
              <w:rFonts w:hint="default"/>
              <w:lang w:val="en-US" w:eastAsia="zh-CN"/>
            </w:rPr>
            <w:fldChar w:fldCharType="end"/>
          </w:r>
        </w:p>
        <w:p w14:paraId="5F35FA98">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_Toc1507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（十五） </w:t>
          </w:r>
          <w:r>
            <w:rPr>
              <w:rFonts w:hint="eastAsia" w:ascii="方正楷体_GB2312" w:hAnsi="方正楷体_GB2312" w:eastAsia="方正楷体_GB2312" w:cs="方正楷体_GB2312"/>
              <w:bCs w:val="0"/>
              <w:szCs w:val="32"/>
              <w:highlight w:val="none"/>
              <w:lang w:val="en-US" w:eastAsia="zh-CN"/>
            </w:rPr>
            <w:t>发展农业适度规模经营</w:t>
          </w:r>
          <w:r>
            <w:tab/>
          </w:r>
          <w:r>
            <w:fldChar w:fldCharType="begin"/>
          </w:r>
          <w:r>
            <w:instrText xml:space="preserve"> PAGEREF _Toc1507 \h </w:instrText>
          </w:r>
          <w:r>
            <w:fldChar w:fldCharType="separate"/>
          </w:r>
          <w:r>
            <w:t>14</w:t>
          </w:r>
          <w:r>
            <w:fldChar w:fldCharType="end"/>
          </w:r>
          <w:r>
            <w:rPr>
              <w:rFonts w:hint="default"/>
              <w:lang w:val="en-US" w:eastAsia="zh-CN"/>
            </w:rPr>
            <w:fldChar w:fldCharType="end"/>
          </w:r>
        </w:p>
        <w:p w14:paraId="52A84A80">
          <w:pPr>
            <w:pStyle w:val="9"/>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_Toc264 </w:instrText>
          </w:r>
          <w:r>
            <w:rPr>
              <w:rFonts w:hint="default"/>
              <w:lang w:val="en-US" w:eastAsia="zh-CN"/>
            </w:rPr>
            <w:fldChar w:fldCharType="separate"/>
          </w:r>
          <w:r>
            <w:rPr>
              <w:rFonts w:hint="eastAsia" w:ascii="黑体" w:hAnsi="黑体" w:eastAsia="黑体" w:cs="黑体"/>
              <w:szCs w:val="28"/>
              <w:highlight w:val="none"/>
              <w:lang w:val="en-US" w:eastAsia="zh-CN"/>
            </w:rPr>
            <w:t>六、加快推进塑形铸魂，建设宜居宜业和美乡村</w:t>
          </w:r>
          <w:r>
            <w:tab/>
          </w:r>
          <w:r>
            <w:fldChar w:fldCharType="begin"/>
          </w:r>
          <w:r>
            <w:instrText xml:space="preserve"> PAGEREF _Toc264 \h </w:instrText>
          </w:r>
          <w:r>
            <w:fldChar w:fldCharType="separate"/>
          </w:r>
          <w:r>
            <w:t>15</w:t>
          </w:r>
          <w:r>
            <w:fldChar w:fldCharType="end"/>
          </w:r>
          <w:r>
            <w:rPr>
              <w:rFonts w:hint="default"/>
              <w:lang w:val="en-US" w:eastAsia="zh-CN"/>
            </w:rPr>
            <w:fldChar w:fldCharType="end"/>
          </w:r>
        </w:p>
        <w:p w14:paraId="7C6178CE">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_Toc6455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（十六） </w:t>
          </w:r>
          <w:r>
            <w:rPr>
              <w:rFonts w:hint="eastAsia" w:ascii="方正楷体_GB2312" w:hAnsi="方正楷体_GB2312" w:eastAsia="方正楷体_GB2312" w:cs="方正楷体_GB2312"/>
              <w:bCs w:val="0"/>
              <w:szCs w:val="32"/>
              <w:highlight w:val="none"/>
              <w:lang w:val="en-US" w:eastAsia="zh-CN"/>
            </w:rPr>
            <w:t>分类有序推进乡村建设</w:t>
          </w:r>
          <w:r>
            <w:tab/>
          </w:r>
          <w:r>
            <w:fldChar w:fldCharType="begin"/>
          </w:r>
          <w:r>
            <w:instrText xml:space="preserve"> PAGEREF _Toc6455 \h </w:instrText>
          </w:r>
          <w:r>
            <w:fldChar w:fldCharType="separate"/>
          </w:r>
          <w:r>
            <w:t>15</w:t>
          </w:r>
          <w:r>
            <w:fldChar w:fldCharType="end"/>
          </w:r>
          <w:r>
            <w:rPr>
              <w:rFonts w:hint="default"/>
              <w:lang w:val="en-US" w:eastAsia="zh-CN"/>
            </w:rPr>
            <w:fldChar w:fldCharType="end"/>
          </w:r>
        </w:p>
        <w:p w14:paraId="4D9C76E4">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_Toc18564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（十七） </w:t>
          </w:r>
          <w:r>
            <w:rPr>
              <w:rFonts w:hint="eastAsia" w:ascii="方正楷体_GB2312" w:hAnsi="方正楷体_GB2312" w:eastAsia="方正楷体_GB2312" w:cs="方正楷体_GB2312"/>
              <w:bCs w:val="0"/>
              <w:szCs w:val="32"/>
              <w:highlight w:val="none"/>
              <w:lang w:val="en-US" w:eastAsia="zh-CN"/>
            </w:rPr>
            <w:t>提高农村基础设施完备度</w:t>
          </w:r>
          <w:r>
            <w:tab/>
          </w:r>
          <w:r>
            <w:fldChar w:fldCharType="begin"/>
          </w:r>
          <w:r>
            <w:instrText xml:space="preserve"> PAGEREF _Toc18564 \h </w:instrText>
          </w:r>
          <w:r>
            <w:fldChar w:fldCharType="separate"/>
          </w:r>
          <w:r>
            <w:t>15</w:t>
          </w:r>
          <w:r>
            <w:fldChar w:fldCharType="end"/>
          </w:r>
          <w:r>
            <w:rPr>
              <w:rFonts w:hint="default"/>
              <w:lang w:val="en-US" w:eastAsia="zh-CN"/>
            </w:rPr>
            <w:fldChar w:fldCharType="end"/>
          </w:r>
        </w:p>
        <w:p w14:paraId="4416644A">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_Toc21765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（十八） </w:t>
          </w:r>
          <w:r>
            <w:rPr>
              <w:rFonts w:hint="eastAsia" w:ascii="方正楷体_GB2312" w:hAnsi="方正楷体_GB2312" w:eastAsia="方正楷体_GB2312" w:cs="方正楷体_GB2312"/>
              <w:bCs w:val="0"/>
              <w:szCs w:val="32"/>
              <w:highlight w:val="none"/>
              <w:lang w:val="en-US" w:eastAsia="zh-CN"/>
            </w:rPr>
            <w:t>提升农村人居环境舒适度</w:t>
          </w:r>
          <w:r>
            <w:tab/>
          </w:r>
          <w:r>
            <w:fldChar w:fldCharType="begin"/>
          </w:r>
          <w:r>
            <w:instrText xml:space="preserve"> PAGEREF _Toc21765 \h </w:instrText>
          </w:r>
          <w:r>
            <w:fldChar w:fldCharType="separate"/>
          </w:r>
          <w:r>
            <w:t>16</w:t>
          </w:r>
          <w:r>
            <w:fldChar w:fldCharType="end"/>
          </w:r>
          <w:r>
            <w:rPr>
              <w:rFonts w:hint="default"/>
              <w:lang w:val="en-US" w:eastAsia="zh-CN"/>
            </w:rPr>
            <w:fldChar w:fldCharType="end"/>
          </w:r>
        </w:p>
        <w:p w14:paraId="2586A982">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_Toc6774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（十九） </w:t>
          </w:r>
          <w:r>
            <w:rPr>
              <w:rFonts w:hint="eastAsia" w:ascii="方正楷体_GB2312" w:hAnsi="方正楷体_GB2312" w:eastAsia="方正楷体_GB2312" w:cs="方正楷体_GB2312"/>
              <w:bCs w:val="0"/>
              <w:szCs w:val="32"/>
              <w:highlight w:val="none"/>
              <w:lang w:val="en-US" w:eastAsia="zh-CN"/>
            </w:rPr>
            <w:t>促进农村基本公共服务提质增效</w:t>
          </w:r>
          <w:r>
            <w:tab/>
          </w:r>
          <w:r>
            <w:fldChar w:fldCharType="begin"/>
          </w:r>
          <w:r>
            <w:instrText xml:space="preserve"> PAGEREF _Toc6774 \h </w:instrText>
          </w:r>
          <w:r>
            <w:fldChar w:fldCharType="separate"/>
          </w:r>
          <w:r>
            <w:t>16</w:t>
          </w:r>
          <w:r>
            <w:fldChar w:fldCharType="end"/>
          </w:r>
          <w:r>
            <w:rPr>
              <w:rFonts w:hint="default"/>
              <w:lang w:val="en-US" w:eastAsia="zh-CN"/>
            </w:rPr>
            <w:fldChar w:fldCharType="end"/>
          </w:r>
        </w:p>
        <w:p w14:paraId="31F7FD83">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_Toc6835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（二十） </w:t>
          </w:r>
          <w:r>
            <w:rPr>
              <w:rFonts w:hint="eastAsia" w:ascii="方正楷体_GB2312" w:hAnsi="方正楷体_GB2312" w:eastAsia="方正楷体_GB2312" w:cs="方正楷体_GB2312"/>
              <w:bCs w:val="0"/>
              <w:szCs w:val="32"/>
              <w:highlight w:val="none"/>
              <w:lang w:val="en-US" w:eastAsia="zh-CN"/>
            </w:rPr>
            <w:t>提升乡村治理水平</w:t>
          </w:r>
          <w:r>
            <w:tab/>
          </w:r>
          <w:r>
            <w:fldChar w:fldCharType="begin"/>
          </w:r>
          <w:r>
            <w:instrText xml:space="preserve"> PAGEREF _Toc6835 \h </w:instrText>
          </w:r>
          <w:r>
            <w:fldChar w:fldCharType="separate"/>
          </w:r>
          <w:r>
            <w:t>17</w:t>
          </w:r>
          <w:r>
            <w:fldChar w:fldCharType="end"/>
          </w:r>
          <w:r>
            <w:rPr>
              <w:rFonts w:hint="default"/>
              <w:lang w:val="en-US" w:eastAsia="zh-CN"/>
            </w:rPr>
            <w:fldChar w:fldCharType="end"/>
          </w:r>
        </w:p>
        <w:p w14:paraId="2AD9A203">
          <w:pPr>
            <w:pStyle w:val="9"/>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_Toc14086 </w:instrText>
          </w:r>
          <w:r>
            <w:rPr>
              <w:rFonts w:hint="default"/>
              <w:lang w:val="en-US" w:eastAsia="zh-CN"/>
            </w:rPr>
            <w:fldChar w:fldCharType="separate"/>
          </w:r>
          <w:r>
            <w:rPr>
              <w:rFonts w:hint="eastAsia" w:ascii="黑体" w:hAnsi="黑体" w:eastAsia="黑体" w:cs="黑体"/>
              <w:szCs w:val="28"/>
              <w:highlight w:val="none"/>
              <w:lang w:val="en-US" w:eastAsia="zh-CN"/>
            </w:rPr>
            <w:t>七、强化改革系统集成，提高强农惠农富农政策效能</w:t>
          </w:r>
          <w:r>
            <w:tab/>
          </w:r>
          <w:r>
            <w:fldChar w:fldCharType="begin"/>
          </w:r>
          <w:r>
            <w:instrText xml:space="preserve"> PAGEREF _Toc14086 \h </w:instrText>
          </w:r>
          <w:r>
            <w:fldChar w:fldCharType="separate"/>
          </w:r>
          <w:r>
            <w:t>18</w:t>
          </w:r>
          <w:r>
            <w:fldChar w:fldCharType="end"/>
          </w:r>
          <w:r>
            <w:rPr>
              <w:rFonts w:hint="default"/>
              <w:lang w:val="en-US" w:eastAsia="zh-CN"/>
            </w:rPr>
            <w:fldChar w:fldCharType="end"/>
          </w:r>
        </w:p>
        <w:p w14:paraId="77179243">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_Toc10851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（二十一） </w:t>
          </w:r>
          <w:r>
            <w:rPr>
              <w:rFonts w:hint="eastAsia" w:ascii="方正楷体_GB2312" w:hAnsi="方正楷体_GB2312" w:eastAsia="方正楷体_GB2312" w:cs="方正楷体_GB2312"/>
              <w:bCs w:val="0"/>
              <w:szCs w:val="32"/>
              <w:highlight w:val="none"/>
              <w:lang w:val="en-US" w:eastAsia="zh-CN"/>
            </w:rPr>
            <w:t>持续巩固拓展脱贫攻坚成果</w:t>
          </w:r>
          <w:r>
            <w:tab/>
          </w:r>
          <w:r>
            <w:fldChar w:fldCharType="begin"/>
          </w:r>
          <w:r>
            <w:instrText xml:space="preserve"> PAGEREF _Toc10851 \h </w:instrText>
          </w:r>
          <w:r>
            <w:fldChar w:fldCharType="separate"/>
          </w:r>
          <w:r>
            <w:t>18</w:t>
          </w:r>
          <w:r>
            <w:fldChar w:fldCharType="end"/>
          </w:r>
          <w:r>
            <w:rPr>
              <w:rFonts w:hint="default"/>
              <w:lang w:val="en-US" w:eastAsia="zh-CN"/>
            </w:rPr>
            <w:fldChar w:fldCharType="end"/>
          </w:r>
        </w:p>
        <w:p w14:paraId="79283374">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_Toc24410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（二十二） </w:t>
          </w:r>
          <w:r>
            <w:rPr>
              <w:rFonts w:hint="eastAsia" w:ascii="方正楷体_GB2312" w:hAnsi="方正楷体_GB2312" w:eastAsia="方正楷体_GB2312" w:cs="方正楷体_GB2312"/>
              <w:bCs w:val="0"/>
              <w:szCs w:val="32"/>
              <w:highlight w:val="none"/>
              <w:lang w:val="en-US" w:eastAsia="zh-CN"/>
            </w:rPr>
            <w:t>着力构建“多元化”投入格局</w:t>
          </w:r>
          <w:r>
            <w:tab/>
          </w:r>
          <w:r>
            <w:fldChar w:fldCharType="begin"/>
          </w:r>
          <w:r>
            <w:instrText xml:space="preserve"> PAGEREF _Toc24410 \h </w:instrText>
          </w:r>
          <w:r>
            <w:fldChar w:fldCharType="separate"/>
          </w:r>
          <w:r>
            <w:t>19</w:t>
          </w:r>
          <w:r>
            <w:fldChar w:fldCharType="end"/>
          </w:r>
          <w:r>
            <w:rPr>
              <w:rFonts w:hint="default"/>
              <w:lang w:val="en-US" w:eastAsia="zh-CN"/>
            </w:rPr>
            <w:fldChar w:fldCharType="end"/>
          </w:r>
        </w:p>
        <w:p w14:paraId="5D6C3A70">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_Toc17918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（二十三） </w:t>
          </w:r>
          <w:r>
            <w:rPr>
              <w:rFonts w:hint="eastAsia" w:ascii="方正楷体_GB2312" w:hAnsi="方正楷体_GB2312" w:eastAsia="方正楷体_GB2312" w:cs="方正楷体_GB2312"/>
              <w:bCs w:val="0"/>
              <w:szCs w:val="32"/>
              <w:highlight w:val="none"/>
              <w:lang w:val="en-US" w:eastAsia="zh-CN"/>
            </w:rPr>
            <w:t>深化农村土地制度改革</w:t>
          </w:r>
          <w:r>
            <w:tab/>
          </w:r>
          <w:r>
            <w:fldChar w:fldCharType="begin"/>
          </w:r>
          <w:r>
            <w:instrText xml:space="preserve"> PAGEREF _Toc17918 \h </w:instrText>
          </w:r>
          <w:r>
            <w:fldChar w:fldCharType="separate"/>
          </w:r>
          <w:r>
            <w:t>19</w:t>
          </w:r>
          <w:r>
            <w:fldChar w:fldCharType="end"/>
          </w:r>
          <w:r>
            <w:rPr>
              <w:rFonts w:hint="default"/>
              <w:lang w:val="en-US" w:eastAsia="zh-CN"/>
            </w:rPr>
            <w:fldChar w:fldCharType="end"/>
          </w:r>
        </w:p>
        <w:p w14:paraId="3E2A6072">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_Toc10598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（二十四） </w:t>
          </w:r>
          <w:r>
            <w:rPr>
              <w:rFonts w:hint="eastAsia" w:ascii="方正楷体_GB2312" w:hAnsi="方正楷体_GB2312" w:eastAsia="方正楷体_GB2312" w:cs="方正楷体_GB2312"/>
              <w:bCs w:val="0"/>
              <w:szCs w:val="32"/>
              <w:highlight w:val="none"/>
              <w:lang w:val="en-US" w:eastAsia="zh-CN"/>
            </w:rPr>
            <w:t>积极发展新型农村集体经济</w:t>
          </w:r>
          <w:r>
            <w:tab/>
          </w:r>
          <w:r>
            <w:fldChar w:fldCharType="begin"/>
          </w:r>
          <w:r>
            <w:instrText xml:space="preserve"> PAGEREF _Toc10598 \h </w:instrText>
          </w:r>
          <w:r>
            <w:fldChar w:fldCharType="separate"/>
          </w:r>
          <w:r>
            <w:t>19</w:t>
          </w:r>
          <w:r>
            <w:fldChar w:fldCharType="end"/>
          </w:r>
          <w:r>
            <w:rPr>
              <w:rFonts w:hint="default"/>
              <w:lang w:val="en-US" w:eastAsia="zh-CN"/>
            </w:rPr>
            <w:fldChar w:fldCharType="end"/>
          </w:r>
        </w:p>
        <w:p w14:paraId="33282B98">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_Toc355 </w:instrText>
          </w:r>
          <w:r>
            <w:rPr>
              <w:rFonts w:hint="default"/>
              <w:lang w:val="en-US" w:eastAsia="zh-CN"/>
            </w:rPr>
            <w:fldChar w:fldCharType="separate"/>
          </w:r>
          <w:r>
            <w:rPr>
              <w:rFonts w:hint="eastAsia" w:ascii="方正楷体_GB2312" w:hAnsi="方正楷体_GB2312" w:eastAsia="方正楷体_GB2312" w:cs="方正楷体_GB2312"/>
              <w:bCs w:val="0"/>
              <w:szCs w:val="32"/>
              <w:lang w:val="en-US" w:eastAsia="zh-CN"/>
            </w:rPr>
            <w:t xml:space="preserve">（二十五） </w:t>
          </w:r>
          <w:r>
            <w:rPr>
              <w:rFonts w:hint="eastAsia" w:ascii="方正楷体_GB2312" w:hAnsi="方正楷体_GB2312" w:eastAsia="方正楷体_GB2312" w:cs="方正楷体_GB2312"/>
              <w:bCs w:val="0"/>
              <w:szCs w:val="32"/>
              <w:highlight w:val="none"/>
              <w:lang w:val="en-US" w:eastAsia="zh-CN"/>
            </w:rPr>
            <w:t>拓展农民增收致富渠道</w:t>
          </w:r>
          <w:r>
            <w:tab/>
          </w:r>
          <w:r>
            <w:fldChar w:fldCharType="begin"/>
          </w:r>
          <w:r>
            <w:instrText xml:space="preserve"> PAGEREF _Toc355 \h </w:instrText>
          </w:r>
          <w:r>
            <w:fldChar w:fldCharType="separate"/>
          </w:r>
          <w:r>
            <w:t>20</w:t>
          </w:r>
          <w:r>
            <w:fldChar w:fldCharType="end"/>
          </w:r>
          <w:r>
            <w:rPr>
              <w:rFonts w:hint="default"/>
              <w:lang w:val="en-US" w:eastAsia="zh-CN"/>
            </w:rPr>
            <w:fldChar w:fldCharType="end"/>
          </w:r>
        </w:p>
        <w:p w14:paraId="410512A9">
          <w:pPr>
            <w:pStyle w:val="9"/>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_Toc23106 </w:instrText>
          </w:r>
          <w:r>
            <w:rPr>
              <w:rFonts w:hint="default"/>
              <w:lang w:val="en-US" w:eastAsia="zh-CN"/>
            </w:rPr>
            <w:fldChar w:fldCharType="separate"/>
          </w:r>
          <w:r>
            <w:rPr>
              <w:rFonts w:hint="eastAsia" w:ascii="黑体" w:hAnsi="黑体" w:eastAsia="黑体" w:cs="黑体"/>
              <w:highlight w:val="none"/>
              <w:lang w:val="en-US" w:eastAsia="zh-CN"/>
            </w:rPr>
            <w:t>八、</w:t>
          </w:r>
          <w:r>
            <w:rPr>
              <w:rFonts w:hint="default" w:ascii="黑体" w:hAnsi="黑体" w:eastAsia="黑体" w:cs="黑体"/>
              <w:highlight w:val="none"/>
              <w:lang w:val="en-US" w:eastAsia="zh-CN"/>
            </w:rPr>
            <w:t>规划保障</w:t>
          </w:r>
          <w:r>
            <w:tab/>
          </w:r>
          <w:r>
            <w:fldChar w:fldCharType="begin"/>
          </w:r>
          <w:r>
            <w:instrText xml:space="preserve"> PAGEREF _Toc23106 \h </w:instrText>
          </w:r>
          <w:r>
            <w:fldChar w:fldCharType="separate"/>
          </w:r>
          <w:r>
            <w:t>21</w:t>
          </w:r>
          <w:r>
            <w:fldChar w:fldCharType="end"/>
          </w:r>
          <w:r>
            <w:rPr>
              <w:rFonts w:hint="default"/>
              <w:lang w:val="en-US" w:eastAsia="zh-CN"/>
            </w:rPr>
            <w:fldChar w:fldCharType="end"/>
          </w:r>
        </w:p>
        <w:p w14:paraId="383F6963">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_Toc14032 </w:instrText>
          </w:r>
          <w:r>
            <w:rPr>
              <w:rFonts w:hint="default"/>
              <w:lang w:val="en-US" w:eastAsia="zh-CN"/>
            </w:rPr>
            <w:fldChar w:fldCharType="separate"/>
          </w:r>
          <w:r>
            <w:rPr>
              <w:rFonts w:hint="eastAsia" w:ascii="方正楷体_GB2312" w:hAnsi="方正楷体_GB2312" w:eastAsia="方正楷体_GB2312" w:cs="方正楷体_GB2312"/>
              <w:bCs w:val="0"/>
              <w:lang w:val="en-US" w:eastAsia="zh-CN"/>
            </w:rPr>
            <w:t xml:space="preserve">（二十六） </w:t>
          </w:r>
          <w:r>
            <w:rPr>
              <w:rFonts w:hint="eastAsia" w:ascii="方正楷体_GB2312" w:hAnsi="方正楷体_GB2312" w:eastAsia="方正楷体_GB2312" w:cs="方正楷体_GB2312"/>
              <w:bCs w:val="0"/>
              <w:highlight w:val="none"/>
              <w:lang w:val="en-US" w:eastAsia="zh-CN"/>
            </w:rPr>
            <w:t>加强组织领导</w:t>
          </w:r>
          <w:r>
            <w:tab/>
          </w:r>
          <w:r>
            <w:fldChar w:fldCharType="begin"/>
          </w:r>
          <w:r>
            <w:instrText xml:space="preserve"> PAGEREF _Toc14032 \h </w:instrText>
          </w:r>
          <w:r>
            <w:fldChar w:fldCharType="separate"/>
          </w:r>
          <w:r>
            <w:t>21</w:t>
          </w:r>
          <w:r>
            <w:fldChar w:fldCharType="end"/>
          </w:r>
          <w:r>
            <w:rPr>
              <w:rFonts w:hint="default"/>
              <w:lang w:val="en-US" w:eastAsia="zh-CN"/>
            </w:rPr>
            <w:fldChar w:fldCharType="end"/>
          </w:r>
        </w:p>
        <w:p w14:paraId="5637EDBE">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_Toc3731 </w:instrText>
          </w:r>
          <w:r>
            <w:rPr>
              <w:rFonts w:hint="default"/>
              <w:lang w:val="en-US" w:eastAsia="zh-CN"/>
            </w:rPr>
            <w:fldChar w:fldCharType="separate"/>
          </w:r>
          <w:r>
            <w:rPr>
              <w:rFonts w:hint="eastAsia" w:ascii="方正楷体_GB2312" w:hAnsi="方正楷体_GB2312" w:eastAsia="方正楷体_GB2312" w:cs="方正楷体_GB2312"/>
              <w:bCs w:val="0"/>
              <w:lang w:val="en-US" w:eastAsia="zh-CN"/>
            </w:rPr>
            <w:t xml:space="preserve">（二十七） </w:t>
          </w:r>
          <w:r>
            <w:rPr>
              <w:rFonts w:hint="eastAsia" w:ascii="方正楷体_GB2312" w:hAnsi="方正楷体_GB2312" w:eastAsia="方正楷体_GB2312" w:cs="方正楷体_GB2312"/>
              <w:bCs w:val="0"/>
              <w:highlight w:val="none"/>
              <w:lang w:val="en-US" w:eastAsia="zh-CN"/>
            </w:rPr>
            <w:t>加强人才建设</w:t>
          </w:r>
          <w:r>
            <w:tab/>
          </w:r>
          <w:r>
            <w:fldChar w:fldCharType="begin"/>
          </w:r>
          <w:r>
            <w:instrText xml:space="preserve"> PAGEREF _Toc3731 \h </w:instrText>
          </w:r>
          <w:r>
            <w:fldChar w:fldCharType="separate"/>
          </w:r>
          <w:r>
            <w:t>21</w:t>
          </w:r>
          <w:r>
            <w:fldChar w:fldCharType="end"/>
          </w:r>
          <w:r>
            <w:rPr>
              <w:rFonts w:hint="default"/>
              <w:lang w:val="en-US" w:eastAsia="zh-CN"/>
            </w:rPr>
            <w:fldChar w:fldCharType="end"/>
          </w:r>
        </w:p>
        <w:p w14:paraId="236E8999">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_Toc5684 </w:instrText>
          </w:r>
          <w:r>
            <w:rPr>
              <w:rFonts w:hint="default"/>
              <w:lang w:val="en-US" w:eastAsia="zh-CN"/>
            </w:rPr>
            <w:fldChar w:fldCharType="separate"/>
          </w:r>
          <w:r>
            <w:rPr>
              <w:rFonts w:hint="eastAsia" w:ascii="方正楷体_GB2312" w:hAnsi="方正楷体_GB2312" w:eastAsia="方正楷体_GB2312" w:cs="方正楷体_GB2312"/>
              <w:bCs w:val="0"/>
              <w:lang w:val="en-US" w:eastAsia="zh-CN"/>
            </w:rPr>
            <w:t xml:space="preserve">（二十八） </w:t>
          </w:r>
          <w:r>
            <w:rPr>
              <w:rFonts w:hint="eastAsia" w:ascii="方正楷体_GB2312" w:hAnsi="方正楷体_GB2312" w:eastAsia="方正楷体_GB2312" w:cs="方正楷体_GB2312"/>
              <w:bCs w:val="0"/>
              <w:highlight w:val="none"/>
              <w:lang w:val="en-US" w:eastAsia="zh-CN"/>
            </w:rPr>
            <w:t>动员社会参与</w:t>
          </w:r>
          <w:r>
            <w:tab/>
          </w:r>
          <w:r>
            <w:fldChar w:fldCharType="begin"/>
          </w:r>
          <w:r>
            <w:instrText xml:space="preserve"> PAGEREF _Toc5684 \h </w:instrText>
          </w:r>
          <w:r>
            <w:fldChar w:fldCharType="separate"/>
          </w:r>
          <w:r>
            <w:t>22</w:t>
          </w:r>
          <w:r>
            <w:fldChar w:fldCharType="end"/>
          </w:r>
          <w:r>
            <w:rPr>
              <w:rFonts w:hint="default"/>
              <w:lang w:val="en-US" w:eastAsia="zh-CN"/>
            </w:rPr>
            <w:fldChar w:fldCharType="end"/>
          </w:r>
        </w:p>
        <w:p w14:paraId="6F9EA8FB">
          <w:pPr>
            <w:pStyle w:val="11"/>
            <w:tabs>
              <w:tab w:val="right" w:leader="dot" w:pos="8306"/>
            </w:tabs>
            <w:ind w:firstLine="0" w:firstLineChars="0"/>
          </w:pPr>
          <w:r>
            <w:rPr>
              <w:rFonts w:hint="default"/>
              <w:lang w:val="en-US" w:eastAsia="zh-CN"/>
            </w:rPr>
            <w:fldChar w:fldCharType="begin"/>
          </w:r>
          <w:r>
            <w:rPr>
              <w:rFonts w:hint="default"/>
              <w:lang w:val="en-US" w:eastAsia="zh-CN"/>
            </w:rPr>
            <w:instrText xml:space="preserve"> HYPERLINK \l _Toc3326 </w:instrText>
          </w:r>
          <w:r>
            <w:rPr>
              <w:rFonts w:hint="default"/>
              <w:lang w:val="en-US" w:eastAsia="zh-CN"/>
            </w:rPr>
            <w:fldChar w:fldCharType="separate"/>
          </w:r>
          <w:r>
            <w:rPr>
              <w:rFonts w:hint="eastAsia" w:ascii="方正楷体_GB2312" w:hAnsi="方正楷体_GB2312" w:eastAsia="方正楷体_GB2312" w:cs="方正楷体_GB2312"/>
              <w:bCs w:val="0"/>
              <w:lang w:val="en-US" w:eastAsia="zh-CN"/>
            </w:rPr>
            <w:t xml:space="preserve">（二十九） </w:t>
          </w:r>
          <w:r>
            <w:rPr>
              <w:rFonts w:hint="eastAsia" w:ascii="方正楷体_GB2312" w:hAnsi="方正楷体_GB2312" w:eastAsia="方正楷体_GB2312" w:cs="方正楷体_GB2312"/>
              <w:bCs w:val="0"/>
              <w:highlight w:val="none"/>
              <w:lang w:val="en-US" w:eastAsia="zh-CN"/>
            </w:rPr>
            <w:t>加强招商引资</w:t>
          </w:r>
          <w:r>
            <w:tab/>
          </w:r>
          <w:r>
            <w:fldChar w:fldCharType="begin"/>
          </w:r>
          <w:r>
            <w:instrText xml:space="preserve"> PAGEREF _Toc3326 \h </w:instrText>
          </w:r>
          <w:r>
            <w:fldChar w:fldCharType="separate"/>
          </w:r>
          <w:r>
            <w:t>22</w:t>
          </w:r>
          <w:r>
            <w:fldChar w:fldCharType="end"/>
          </w:r>
          <w:r>
            <w:rPr>
              <w:rFonts w:hint="default"/>
              <w:lang w:val="en-US" w:eastAsia="zh-CN"/>
            </w:rPr>
            <w:fldChar w:fldCharType="end"/>
          </w:r>
        </w:p>
        <w:p w14:paraId="29E8FCF9">
          <w:pPr>
            <w:ind w:firstLine="0" w:firstLineChars="0"/>
            <w:rPr>
              <w:rFonts w:hint="default" w:ascii="Times New Roman" w:hAnsi="Times New Roman" w:eastAsia="仿宋_GB2312" w:cstheme="minorBidi"/>
              <w:kern w:val="2"/>
              <w:sz w:val="32"/>
              <w:szCs w:val="24"/>
              <w:lang w:val="en-US" w:eastAsia="zh-CN" w:bidi="ar-SA"/>
            </w:rPr>
          </w:pPr>
          <w:r>
            <w:rPr>
              <w:rFonts w:hint="default"/>
              <w:lang w:val="en-US" w:eastAsia="zh-CN"/>
            </w:rPr>
            <w:fldChar w:fldCharType="end"/>
          </w:r>
        </w:p>
      </w:sdtContent>
    </w:sdt>
    <w:p w14:paraId="4F23AC49">
      <w:pPr>
        <w:ind w:firstLine="0" w:firstLineChars="0"/>
        <w:rPr>
          <w:rFonts w:hint="default"/>
          <w:lang w:val="en-US" w:eastAsia="zh-CN"/>
        </w:rPr>
        <w:sectPr>
          <w:footerReference r:id="rId5" w:type="default"/>
          <w:pgSz w:w="11906" w:h="16838"/>
          <w:pgMar w:top="1440" w:right="1800" w:bottom="1440" w:left="1800" w:header="851" w:footer="992" w:gutter="0"/>
          <w:pgNumType w:fmt="upperRoman" w:start="1"/>
          <w:cols w:space="425" w:num="1"/>
          <w:docGrid w:type="lines" w:linePitch="312" w:charSpace="0"/>
        </w:sectPr>
      </w:pPr>
    </w:p>
    <w:p w14:paraId="101D6457">
      <w:pPr>
        <w:kinsoku w:val="0"/>
        <w:spacing w:line="600" w:lineRule="exact"/>
        <w:rPr>
          <w:rFonts w:hint="eastAsia" w:ascii="Times New Roman" w:hAnsi="Times New Roman" w:eastAsia="仿宋_GB2312" w:cstheme="minorBidi"/>
          <w:i w:val="0"/>
          <w:iCs w:val="0"/>
          <w:caps w:val="0"/>
          <w:color w:val="auto"/>
          <w:spacing w:val="0"/>
          <w:sz w:val="32"/>
          <w:szCs w:val="24"/>
          <w:highlight w:val="none"/>
          <w:u w:val="none"/>
          <w:shd w:val="clear"/>
          <w:lang w:val="en-US" w:eastAsia="zh-CN"/>
        </w:rPr>
      </w:pPr>
      <w:r>
        <w:rPr>
          <w:rFonts w:hint="eastAsia" w:ascii="Times New Roman" w:hAnsi="Times New Roman" w:cstheme="minorBidi"/>
          <w:color w:val="auto"/>
          <w:kern w:val="2"/>
          <w:sz w:val="32"/>
          <w:szCs w:val="24"/>
          <w:highlight w:val="none"/>
          <w:u w:val="none"/>
          <w:lang w:val="en-US" w:eastAsia="zh-CN" w:bidi="ar"/>
        </w:rPr>
        <w:t>“十五五”时期是基本实现农业农村现代化的关键时期。</w:t>
      </w:r>
      <w:r>
        <w:rPr>
          <w:rFonts w:hint="eastAsia" w:ascii="Times New Roman" w:hAnsi="Times New Roman" w:eastAsia="仿宋_GB2312" w:cstheme="minorBidi"/>
          <w:color w:val="auto"/>
          <w:kern w:val="2"/>
          <w:sz w:val="32"/>
          <w:szCs w:val="24"/>
          <w:highlight w:val="none"/>
          <w:u w:val="none"/>
          <w:lang w:val="en-US" w:eastAsia="zh-CN" w:bidi="ar"/>
        </w:rPr>
        <w:t>为</w:t>
      </w:r>
      <w:r>
        <w:rPr>
          <w:rFonts w:hint="eastAsia" w:ascii="Times New Roman" w:hAnsi="Times New Roman" w:cstheme="minorBidi"/>
          <w:color w:val="auto"/>
          <w:kern w:val="2"/>
          <w:sz w:val="32"/>
          <w:szCs w:val="24"/>
          <w:highlight w:val="none"/>
          <w:u w:val="none"/>
          <w:lang w:val="en-US" w:eastAsia="zh-CN" w:bidi="ar"/>
        </w:rPr>
        <w:t>科学谋划“十五五”时期全市农业农村现代化发展，</w:t>
      </w:r>
      <w:r>
        <w:rPr>
          <w:rFonts w:hint="eastAsia" w:ascii="Times New Roman" w:hAnsi="Times New Roman" w:cstheme="minorBidi"/>
          <w:b w:val="0"/>
          <w:bCs w:val="0"/>
          <w:color w:val="auto"/>
          <w:kern w:val="2"/>
          <w:sz w:val="32"/>
          <w:szCs w:val="24"/>
          <w:highlight w:val="none"/>
          <w:u w:val="none"/>
          <w:lang w:val="en-US" w:eastAsia="zh-CN" w:bidi="ar-SA"/>
        </w:rPr>
        <w:t>根</w:t>
      </w:r>
      <w:r>
        <w:rPr>
          <w:rFonts w:hint="eastAsia" w:ascii="Times New Roman" w:hAnsi="Times New Roman" w:eastAsia="仿宋_GB2312" w:cstheme="minorBidi"/>
          <w:b w:val="0"/>
          <w:bCs w:val="0"/>
          <w:color w:val="auto"/>
          <w:kern w:val="2"/>
          <w:sz w:val="32"/>
          <w:szCs w:val="24"/>
          <w:highlight w:val="none"/>
          <w:u w:val="none"/>
          <w:lang w:val="en-US" w:eastAsia="zh-CN" w:bidi="ar-SA"/>
        </w:rPr>
        <w:t>据</w:t>
      </w:r>
      <w:r>
        <w:rPr>
          <w:rFonts w:hint="eastAsia" w:ascii="Times New Roman" w:hAnsi="Times New Roman" w:cstheme="minorBidi"/>
          <w:color w:val="auto"/>
          <w:sz w:val="32"/>
          <w:szCs w:val="24"/>
          <w:highlight w:val="none"/>
          <w:u w:val="none"/>
          <w:lang w:eastAsia="zh-CN"/>
        </w:rPr>
        <w:t>《</w:t>
      </w:r>
      <w:r>
        <w:rPr>
          <w:rFonts w:hint="eastAsia" w:ascii="Times New Roman" w:hAnsi="Times New Roman" w:cstheme="minorBidi"/>
          <w:color w:val="auto"/>
          <w:sz w:val="32"/>
          <w:szCs w:val="24"/>
          <w:highlight w:val="none"/>
          <w:u w:val="none"/>
          <w:lang w:val="en-US" w:eastAsia="zh-CN"/>
        </w:rPr>
        <w:t>加快农业农村现代化“十五五”规划</w:t>
      </w:r>
      <w:r>
        <w:rPr>
          <w:rFonts w:hint="eastAsia" w:ascii="Times New Roman" w:hAnsi="Times New Roman" w:cstheme="minorBidi"/>
          <w:color w:val="auto"/>
          <w:sz w:val="32"/>
          <w:szCs w:val="24"/>
          <w:highlight w:val="none"/>
          <w:u w:val="none"/>
          <w:lang w:eastAsia="zh-CN"/>
        </w:rPr>
        <w:t>》</w:t>
      </w:r>
      <w:r>
        <w:rPr>
          <w:rFonts w:hint="eastAsia" w:ascii="Times New Roman" w:hAnsi="Times New Roman" w:cstheme="minorBidi"/>
          <w:b w:val="0"/>
          <w:bCs w:val="0"/>
          <w:color w:val="auto"/>
          <w:kern w:val="2"/>
          <w:sz w:val="32"/>
          <w:szCs w:val="24"/>
          <w:highlight w:val="none"/>
          <w:u w:val="none"/>
          <w:lang w:val="en-US" w:eastAsia="zh-CN" w:bidi="ar-SA"/>
        </w:rPr>
        <w:t>《</w:t>
      </w:r>
      <w:r>
        <w:rPr>
          <w:rFonts w:hint="eastAsia" w:ascii="Times New Roman" w:hAnsi="Times New Roman" w:eastAsia="仿宋_GB2312" w:cstheme="minorBidi"/>
          <w:b w:val="0"/>
          <w:bCs w:val="0"/>
          <w:color w:val="auto"/>
          <w:kern w:val="2"/>
          <w:sz w:val="32"/>
          <w:szCs w:val="24"/>
          <w:highlight w:val="none"/>
          <w:u w:val="none"/>
          <w:lang w:val="en-US" w:eastAsia="zh-CN" w:bidi="ar-SA"/>
        </w:rPr>
        <w:t>中共广东省委关于制定广东省国民经济和社会发展第十五个五年规划</w:t>
      </w:r>
      <w:r>
        <w:rPr>
          <w:rFonts w:hint="eastAsia" w:ascii="Times New Roman" w:hAnsi="Times New Roman" w:cstheme="minorBidi"/>
          <w:b w:val="0"/>
          <w:bCs w:val="0"/>
          <w:color w:val="auto"/>
          <w:kern w:val="2"/>
          <w:sz w:val="32"/>
          <w:szCs w:val="24"/>
          <w:highlight w:val="none"/>
          <w:u w:val="none"/>
          <w:lang w:val="en-US" w:eastAsia="zh-CN" w:bidi="ar-SA"/>
        </w:rPr>
        <w:t>纲要》，衔接《中共英德市委关于制定英德市国民经济和社会发展第十五个五年规划的建议》，</w:t>
      </w:r>
      <w:r>
        <w:rPr>
          <w:rFonts w:hint="eastAsia" w:ascii="Times New Roman" w:hAnsi="Times New Roman" w:cstheme="minorBidi"/>
          <w:color w:val="auto"/>
          <w:sz w:val="32"/>
          <w:szCs w:val="24"/>
          <w:highlight w:val="none"/>
          <w:u w:val="none"/>
          <w:lang w:val="en-US" w:eastAsia="zh-CN"/>
        </w:rPr>
        <w:t>制定本规划。</w:t>
      </w:r>
    </w:p>
    <w:p w14:paraId="5A94B002">
      <w:pPr>
        <w:pStyle w:val="20"/>
        <w:numPr>
          <w:ilvl w:val="0"/>
          <w:numId w:val="0"/>
        </w:numPr>
        <w:ind w:firstLine="640"/>
        <w:outlineLvl w:val="0"/>
        <w:rPr>
          <w:rFonts w:hint="eastAsia" w:ascii="黑体" w:hAnsi="黑体" w:eastAsia="黑体" w:cs="黑体"/>
          <w:highlight w:val="none"/>
          <w:u w:val="none"/>
          <w:lang w:val="en-US" w:eastAsia="zh-CN"/>
        </w:rPr>
      </w:pPr>
      <w:bookmarkStart w:id="3" w:name="_Toc10633"/>
      <w:bookmarkStart w:id="4" w:name="_Toc7543"/>
      <w:bookmarkStart w:id="5" w:name="_Toc15306"/>
      <w:bookmarkStart w:id="6" w:name="_Toc26761"/>
      <w:bookmarkStart w:id="7" w:name="_Toc22566"/>
      <w:r>
        <w:rPr>
          <w:rFonts w:hint="eastAsia" w:ascii="黑体" w:hAnsi="黑体" w:eastAsia="黑体" w:cs="黑体"/>
          <w:highlight w:val="none"/>
          <w:u w:val="none"/>
          <w:lang w:val="en-US" w:eastAsia="zh-CN"/>
        </w:rPr>
        <w:t>一、总体要求</w:t>
      </w:r>
      <w:bookmarkEnd w:id="3"/>
      <w:bookmarkEnd w:id="4"/>
      <w:bookmarkEnd w:id="5"/>
      <w:bookmarkEnd w:id="6"/>
      <w:bookmarkEnd w:id="7"/>
    </w:p>
    <w:p w14:paraId="59F2DF4D">
      <w:pPr>
        <w:keepNext w:val="0"/>
        <w:keepLines w:val="0"/>
        <w:pageBreakBefore w:val="0"/>
        <w:widowControl w:val="0"/>
        <w:kinsoku w:val="0"/>
        <w:wordWrap/>
        <w:overflowPunct/>
        <w:topLinePunct w:val="0"/>
        <w:autoSpaceDE/>
        <w:autoSpaceDN/>
        <w:bidi w:val="0"/>
        <w:adjustRightInd/>
        <w:snapToGrid/>
        <w:spacing w:line="600" w:lineRule="exact"/>
        <w:jc w:val="both"/>
        <w:textAlignment w:val="auto"/>
        <w:rPr>
          <w:rFonts w:hint="eastAsia" w:eastAsia="仿宋_GB2312"/>
          <w:color w:val="auto"/>
          <w:highlight w:val="none"/>
          <w:u w:val="none"/>
          <w:lang w:val="en-US" w:eastAsia="zh-CN"/>
        </w:rPr>
      </w:pPr>
      <w:r>
        <w:rPr>
          <w:rFonts w:hint="eastAsia" w:ascii="Times New Roman" w:hAnsi="Times New Roman" w:eastAsia="仿宋_GB2312" w:cstheme="minorBidi"/>
          <w:color w:val="auto"/>
          <w:kern w:val="2"/>
          <w:sz w:val="32"/>
          <w:szCs w:val="24"/>
          <w:highlight w:val="none"/>
          <w:u w:val="none"/>
          <w:lang w:val="en-US" w:eastAsia="zh-CN" w:bidi="ar-SA"/>
        </w:rPr>
        <w:t>坚持以习近平新时代中国特色社会主义思想为指导，深入贯彻党的二十大和二十届历次全会精神，全面贯彻落实习 近平总书记关于“三农”工作的重要论述和对广东的重要讲话、</w:t>
      </w:r>
      <w:r>
        <w:rPr>
          <w:rFonts w:hint="eastAsia" w:ascii="仿宋_GB2312" w:hAnsi="宋体" w:eastAsia="仿宋_GB2312" w:cs="仿宋_GB2312"/>
          <w:color w:val="000000"/>
          <w:kern w:val="0"/>
          <w:sz w:val="31"/>
          <w:szCs w:val="31"/>
          <w:highlight w:val="none"/>
          <w:u w:val="none"/>
          <w:lang w:val="en-US" w:eastAsia="zh-CN" w:bidi="ar"/>
        </w:rPr>
        <w:t>重要指示精神，</w:t>
      </w:r>
      <w:r>
        <w:rPr>
          <w:rFonts w:hint="eastAsia" w:ascii="仿宋_GB2312" w:hAnsi="仿宋_GB2312" w:eastAsia="仿宋_GB2312" w:cs="仿宋_GB2312"/>
          <w:color w:val="auto"/>
          <w:sz w:val="32"/>
          <w:szCs w:val="32"/>
          <w:highlight w:val="none"/>
          <w:u w:val="none"/>
        </w:rPr>
        <w:t>落实省委“1310”具体部署</w:t>
      </w:r>
      <w:r>
        <w:rPr>
          <w:rFonts w:hint="eastAsia" w:ascii="仿宋_GB2312" w:hAnsi="仿宋_GB2312" w:eastAsia="仿宋_GB2312" w:cs="仿宋_GB2312"/>
          <w:color w:val="auto"/>
          <w:sz w:val="32"/>
          <w:szCs w:val="32"/>
          <w:highlight w:val="none"/>
          <w:u w:val="none"/>
          <w:lang w:val="en-US" w:eastAsia="zh-CN"/>
        </w:rPr>
        <w:t>和</w:t>
      </w:r>
      <w:r>
        <w:rPr>
          <w:rFonts w:hint="eastAsia" w:ascii="仿宋_GB2312" w:hAnsi="仿宋_GB2312" w:cs="仿宋_GB2312"/>
          <w:color w:val="auto"/>
          <w:sz w:val="32"/>
          <w:szCs w:val="32"/>
          <w:highlight w:val="none"/>
          <w:u w:val="none"/>
          <w:lang w:val="en-US" w:eastAsia="zh-CN"/>
        </w:rPr>
        <w:t>清远市委、市政府</w:t>
      </w:r>
      <w:r>
        <w:rPr>
          <w:rFonts w:hint="eastAsia" w:ascii="仿宋_GB2312" w:hAnsi="仿宋_GB2312" w:eastAsia="仿宋_GB2312" w:cs="仿宋_GB2312"/>
          <w:color w:val="auto"/>
          <w:sz w:val="32"/>
          <w:szCs w:val="32"/>
          <w:highlight w:val="none"/>
          <w:u w:val="none"/>
        </w:rPr>
        <w:t>“</w:t>
      </w:r>
      <w:r>
        <w:rPr>
          <w:rFonts w:hint="eastAsia" w:ascii="仿宋_GB2312" w:hAnsi="仿宋_GB2312" w:cs="仿宋_GB2312"/>
          <w:color w:val="auto"/>
          <w:sz w:val="32"/>
          <w:szCs w:val="32"/>
          <w:highlight w:val="none"/>
          <w:u w:val="none"/>
          <w:lang w:val="en-US" w:eastAsia="zh-CN"/>
        </w:rPr>
        <w:t>十大攻坚克难</w:t>
      </w:r>
      <w:r>
        <w:rPr>
          <w:rFonts w:hint="eastAsia" w:ascii="仿宋_GB2312" w:hAnsi="仿宋_GB2312" w:eastAsia="仿宋_GB2312" w:cs="仿宋_GB2312"/>
          <w:color w:val="auto"/>
          <w:sz w:val="32"/>
          <w:szCs w:val="32"/>
          <w:highlight w:val="none"/>
          <w:u w:val="none"/>
        </w:rPr>
        <w:t>”</w:t>
      </w:r>
      <w:r>
        <w:rPr>
          <w:rFonts w:hint="eastAsia" w:ascii="仿宋_GB2312" w:hAnsi="仿宋_GB2312" w:cs="仿宋_GB2312"/>
          <w:color w:val="auto"/>
          <w:sz w:val="32"/>
          <w:szCs w:val="32"/>
          <w:highlight w:val="none"/>
          <w:u w:val="none"/>
          <w:lang w:eastAsia="zh-CN"/>
        </w:rPr>
        <w:t>、</w:t>
      </w:r>
      <w:r>
        <w:rPr>
          <w:rFonts w:hint="eastAsia" w:ascii="仿宋_GB2312" w:hAnsi="仿宋_GB2312" w:cs="仿宋_GB2312"/>
          <w:color w:val="auto"/>
          <w:sz w:val="32"/>
          <w:szCs w:val="32"/>
          <w:highlight w:val="none"/>
          <w:u w:val="none"/>
          <w:lang w:val="en-US" w:eastAsia="zh-CN"/>
        </w:rPr>
        <w:t>英德市委、市政府工作要求</w:t>
      </w:r>
      <w:r>
        <w:rPr>
          <w:rFonts w:hint="eastAsia" w:ascii="仿宋_GB2312" w:hAnsi="仿宋_GB2312" w:eastAsia="仿宋_GB2312" w:cs="仿宋_GB2312"/>
          <w:color w:val="auto"/>
          <w:sz w:val="32"/>
          <w:szCs w:val="32"/>
          <w:highlight w:val="none"/>
          <w:u w:val="none"/>
        </w:rPr>
        <w:t>，</w:t>
      </w:r>
      <w:r>
        <w:rPr>
          <w:rFonts w:hint="eastAsia"/>
          <w:color w:val="auto"/>
          <w:highlight w:val="none"/>
          <w:u w:val="none"/>
          <w:lang w:val="en-US" w:eastAsia="zh-CN"/>
        </w:rPr>
        <w:t>锚定建设农业强县目标，坚决扛起英德现代化建设“走在前、当示范、作表率”的责任担当，坚持城乡融合发展，</w:t>
      </w:r>
      <w:r>
        <w:rPr>
          <w:rFonts w:hint="eastAsia" w:ascii="仿宋_GB2312" w:hAnsi="仿宋_GB2312" w:cs="仿宋_GB2312"/>
          <w:color w:val="auto"/>
          <w:sz w:val="32"/>
          <w:szCs w:val="32"/>
          <w:highlight w:val="none"/>
          <w:u w:val="none"/>
          <w:lang w:val="en-US" w:eastAsia="zh-CN"/>
        </w:rPr>
        <w:t>以</w:t>
      </w:r>
      <w:r>
        <w:rPr>
          <w:rFonts w:hint="eastAsia"/>
          <w:color w:val="auto"/>
          <w:highlight w:val="none"/>
          <w:u w:val="none"/>
          <w:lang w:val="en-US" w:eastAsia="zh-CN"/>
        </w:rPr>
        <w:t>“百千万工程”为总抓手，</w:t>
      </w:r>
      <w:r>
        <w:rPr>
          <w:rFonts w:hint="eastAsia" w:ascii="仿宋_GB2312" w:hAnsi="仿宋_GB2312" w:eastAsia="仿宋_GB2312" w:cs="仿宋_GB2312"/>
          <w:color w:val="auto"/>
          <w:sz w:val="32"/>
          <w:szCs w:val="32"/>
          <w:highlight w:val="none"/>
          <w:u w:val="none"/>
        </w:rPr>
        <w:t>以农业产业集群化发展为主攻方向</w:t>
      </w:r>
      <w:r>
        <w:rPr>
          <w:rFonts w:hint="eastAsia"/>
          <w:color w:val="auto"/>
          <w:highlight w:val="none"/>
          <w:u w:val="none"/>
          <w:lang w:val="en-US" w:eastAsia="zh-CN"/>
        </w:rPr>
        <w:t>，</w:t>
      </w:r>
      <w:r>
        <w:rPr>
          <w:rFonts w:hint="eastAsia" w:ascii="仿宋_GB2312" w:hAnsi="仿宋_GB2312" w:eastAsia="仿宋_GB2312" w:cs="仿宋_GB2312"/>
          <w:color w:val="auto"/>
          <w:sz w:val="32"/>
          <w:szCs w:val="32"/>
          <w:highlight w:val="none"/>
          <w:u w:val="none"/>
        </w:rPr>
        <w:t>深化构建“2+2+N”特色农业产业体系</w:t>
      </w:r>
      <w:r>
        <w:rPr>
          <w:rFonts w:hint="eastAsia"/>
          <w:color w:val="auto"/>
          <w:highlight w:val="none"/>
          <w:u w:val="none"/>
          <w:lang w:val="en-US" w:eastAsia="zh-CN"/>
        </w:rPr>
        <w:t>，加快推进宜居宜业和美乡村建设，持续巩固拓展脱贫攻坚成果，</w:t>
      </w:r>
      <w:r>
        <w:rPr>
          <w:rFonts w:hint="eastAsia" w:ascii="仿宋_GB2312" w:hAnsi="仿宋_GB2312" w:cs="仿宋_GB2312"/>
          <w:color w:val="auto"/>
          <w:sz w:val="32"/>
          <w:szCs w:val="32"/>
          <w:highlight w:val="none"/>
          <w:u w:val="none"/>
          <w:lang w:val="en-US" w:eastAsia="zh-CN"/>
        </w:rPr>
        <w:t>完善城乡融合发展机制体制</w:t>
      </w:r>
      <w:r>
        <w:rPr>
          <w:rFonts w:hint="eastAsia"/>
          <w:color w:val="auto"/>
          <w:highlight w:val="none"/>
          <w:u w:val="none"/>
          <w:lang w:val="en-US" w:eastAsia="zh-CN"/>
        </w:rPr>
        <w:t>，加快为2035年基本实现农业现代化和农村基本具备现代生活条件两个重要目标奠定基础。</w:t>
      </w:r>
    </w:p>
    <w:p w14:paraId="0DA2AB14">
      <w:pPr>
        <w:keepNext w:val="0"/>
        <w:keepLines w:val="0"/>
        <w:spacing w:beforeLines="0" w:afterLines="0" w:line="600" w:lineRule="exact"/>
        <w:ind w:firstLine="640" w:firstLineChars="200"/>
        <w:jc w:val="both"/>
        <w:rPr>
          <w:rFonts w:hint="eastAsia" w:ascii="Times New Roman" w:hAnsi="Times New Roman" w:eastAsia="仿宋_GB2312" w:cs="Times New Roman"/>
          <w:b w:val="0"/>
          <w:bCs w:val="0"/>
          <w:sz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到</w:t>
      </w:r>
      <w:r>
        <w:rPr>
          <w:rFonts w:hint="default" w:ascii="Times New Roman" w:hAnsi="Times New Roman" w:eastAsia="仿宋_GB2312" w:cs="Times New Roman"/>
          <w:color w:val="auto"/>
          <w:sz w:val="32"/>
          <w:szCs w:val="32"/>
          <w:highlight w:val="none"/>
          <w:u w:val="none"/>
          <w:lang w:val="en-US" w:eastAsia="zh-CN"/>
        </w:rPr>
        <w:t>2030</w:t>
      </w:r>
      <w:r>
        <w:rPr>
          <w:rFonts w:hint="eastAsia" w:ascii="仿宋_GB2312" w:hAnsi="仿宋_GB2312" w:eastAsia="仿宋_GB2312" w:cs="仿宋_GB2312"/>
          <w:color w:val="auto"/>
          <w:sz w:val="32"/>
          <w:szCs w:val="32"/>
          <w:highlight w:val="none"/>
          <w:u w:val="none"/>
          <w:lang w:val="en-US" w:eastAsia="zh-CN"/>
        </w:rPr>
        <w:t>年，</w:t>
      </w:r>
      <w:r>
        <w:rPr>
          <w:rFonts w:hint="eastAsia" w:ascii="Times New Roman" w:hAnsi="Times New Roman" w:eastAsia="仿宋_GB2312" w:cs="Times New Roman"/>
          <w:b w:val="0"/>
          <w:bCs w:val="0"/>
          <w:sz w:val="32"/>
          <w:highlight w:val="none"/>
          <w:u w:val="none"/>
          <w:lang w:val="en-US" w:eastAsia="zh-CN"/>
        </w:rPr>
        <w:t>粮食和重要农产品安全有效供给能力巩固提升，</w:t>
      </w:r>
      <w:r>
        <w:rPr>
          <w:rFonts w:hint="eastAsia" w:ascii="仿宋_GB2312" w:hAnsi="仿宋_GB2312" w:eastAsia="仿宋_GB2312" w:cs="仿宋_GB2312"/>
          <w:sz w:val="32"/>
          <w:szCs w:val="32"/>
          <w:highlight w:val="none"/>
          <w:u w:val="none"/>
          <w:lang w:val="en-US" w:eastAsia="zh-CN"/>
        </w:rPr>
        <w:t>农业强</w:t>
      </w:r>
      <w:r>
        <w:rPr>
          <w:rFonts w:hint="eastAsia" w:ascii="仿宋_GB2312" w:hAnsi="仿宋_GB2312" w:cs="仿宋_GB2312"/>
          <w:sz w:val="32"/>
          <w:szCs w:val="32"/>
          <w:highlight w:val="none"/>
          <w:u w:val="none"/>
          <w:lang w:val="en-US" w:eastAsia="zh-CN"/>
        </w:rPr>
        <w:t>县</w:t>
      </w:r>
      <w:r>
        <w:rPr>
          <w:rFonts w:hint="eastAsia" w:ascii="仿宋_GB2312" w:hAnsi="仿宋_GB2312" w:eastAsia="仿宋_GB2312" w:cs="仿宋_GB2312"/>
          <w:sz w:val="32"/>
          <w:szCs w:val="32"/>
          <w:highlight w:val="none"/>
          <w:u w:val="none"/>
          <w:lang w:val="en-US" w:eastAsia="zh-CN"/>
        </w:rPr>
        <w:t>建设取得明显进展，乡村全面振兴取得实质性进展，</w:t>
      </w:r>
      <w:r>
        <w:rPr>
          <w:rFonts w:hint="eastAsia" w:ascii="Times New Roman" w:hAnsi="Times New Roman" w:eastAsia="仿宋_GB2312" w:cs="Times New Roman"/>
          <w:b w:val="0"/>
          <w:bCs w:val="0"/>
          <w:sz w:val="32"/>
          <w:highlight w:val="none"/>
          <w:u w:val="none"/>
          <w:lang w:val="en-US" w:eastAsia="zh-CN"/>
        </w:rPr>
        <w:t>农业农村现代化迈上新台阶。</w:t>
      </w:r>
    </w:p>
    <w:p w14:paraId="7EEF3A87">
      <w:pPr>
        <w:pStyle w:val="20"/>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outlineLvl w:val="9"/>
        <w:rPr>
          <w:rFonts w:hint="eastAsia" w:ascii="Times New Roman" w:hAnsi="Times New Roman" w:cs="Times New Roman"/>
          <w:b w:val="0"/>
          <w:bCs w:val="0"/>
          <w:color w:val="auto"/>
          <w:kern w:val="2"/>
          <w:sz w:val="32"/>
          <w:szCs w:val="32"/>
          <w:highlight w:val="none"/>
          <w:u w:val="none"/>
          <w:lang w:val="en-US" w:eastAsia="zh-CN" w:bidi="ar-SA"/>
        </w:rPr>
      </w:pPr>
      <w:r>
        <w:rPr>
          <w:rFonts w:hint="default" w:ascii="Times New Roman" w:hAnsi="Times New Roman" w:cs="Times New Roman"/>
          <w:b/>
          <w:bCs/>
          <w:color w:val="auto"/>
          <w:kern w:val="2"/>
          <w:sz w:val="32"/>
          <w:szCs w:val="32"/>
          <w:highlight w:val="none"/>
          <w:u w:val="none"/>
          <w:lang w:val="en-US" w:eastAsia="zh-CN" w:bidi="ar-SA"/>
        </w:rPr>
        <w:t>——“2+2+N”特色农业产业体系</w:t>
      </w:r>
      <w:r>
        <w:rPr>
          <w:rFonts w:hint="eastAsia" w:cs="Times New Roman"/>
          <w:b/>
          <w:bCs/>
          <w:color w:val="auto"/>
          <w:kern w:val="2"/>
          <w:sz w:val="32"/>
          <w:szCs w:val="32"/>
          <w:highlight w:val="none"/>
          <w:u w:val="none"/>
          <w:lang w:val="en-US" w:eastAsia="zh-CN" w:bidi="ar-SA"/>
        </w:rPr>
        <w:t>持续优化。</w:t>
      </w:r>
      <w:r>
        <w:rPr>
          <w:rFonts w:hint="eastAsia" w:ascii="仿宋_GB2312" w:hAnsi="仿宋_GB2312" w:eastAsia="仿宋_GB2312" w:cs="仿宋_GB2312"/>
          <w:b w:val="0"/>
          <w:bCs w:val="0"/>
          <w:sz w:val="32"/>
          <w:szCs w:val="32"/>
          <w:highlight w:val="none"/>
          <w:u w:val="none"/>
          <w:lang w:val="en-US" w:eastAsia="zh-CN"/>
        </w:rPr>
        <w:t>农业科技和装备</w:t>
      </w:r>
      <w:r>
        <w:rPr>
          <w:rFonts w:hint="eastAsia" w:ascii="仿宋_GB2312" w:hAnsi="仿宋_GB2312" w:eastAsia="仿宋_GB2312" w:cs="仿宋_GB2312"/>
          <w:sz w:val="32"/>
          <w:szCs w:val="32"/>
          <w:highlight w:val="none"/>
          <w:u w:val="none"/>
          <w:lang w:val="en-US" w:eastAsia="zh-CN"/>
        </w:rPr>
        <w:t>支撑持续强化，农产品加工能力持续补强，农业绿色发展综合效益显著提升，农业质量</w:t>
      </w:r>
      <w:r>
        <w:rPr>
          <w:rFonts w:hint="eastAsia" w:ascii="仿宋_GB2312" w:hAnsi="仿宋_GB2312" w:cs="仿宋_GB2312"/>
          <w:sz w:val="32"/>
          <w:szCs w:val="32"/>
          <w:highlight w:val="none"/>
          <w:u w:val="none"/>
          <w:lang w:val="en-US" w:eastAsia="zh-CN"/>
        </w:rPr>
        <w:t>、品牌</w:t>
      </w:r>
      <w:r>
        <w:rPr>
          <w:rFonts w:hint="eastAsia" w:ascii="仿宋_GB2312" w:hAnsi="仿宋_GB2312" w:eastAsia="仿宋_GB2312" w:cs="仿宋_GB2312"/>
          <w:sz w:val="32"/>
          <w:szCs w:val="32"/>
          <w:highlight w:val="none"/>
          <w:u w:val="none"/>
          <w:lang w:val="en-US" w:eastAsia="zh-CN"/>
        </w:rPr>
        <w:t>效益明显提升</w:t>
      </w:r>
      <w:r>
        <w:rPr>
          <w:rFonts w:hint="eastAsia" w:ascii="仿宋_GB2312" w:hAnsi="仿宋_GB2312" w:cs="仿宋_GB2312"/>
          <w:sz w:val="32"/>
          <w:szCs w:val="32"/>
          <w:highlight w:val="none"/>
          <w:u w:val="none"/>
          <w:lang w:val="en-US" w:eastAsia="zh-CN"/>
        </w:rPr>
        <w:t>。</w:t>
      </w:r>
      <w:r>
        <w:rPr>
          <w:rFonts w:hint="default" w:ascii="Times New Roman" w:hAnsi="Times New Roman" w:cs="Times New Roman"/>
          <w:b w:val="0"/>
          <w:bCs w:val="0"/>
          <w:color w:val="auto"/>
          <w:kern w:val="2"/>
          <w:sz w:val="32"/>
          <w:szCs w:val="32"/>
          <w:highlight w:val="none"/>
          <w:u w:val="none"/>
          <w:lang w:val="en-US" w:eastAsia="zh-CN" w:bidi="ar-SA"/>
        </w:rPr>
        <w:t>英德红茶、西牛麻竹笋</w:t>
      </w:r>
      <w:r>
        <w:rPr>
          <w:rFonts w:hint="eastAsia" w:cs="Times New Roman"/>
          <w:b w:val="0"/>
          <w:bCs w:val="0"/>
          <w:color w:val="auto"/>
          <w:kern w:val="2"/>
          <w:sz w:val="32"/>
          <w:szCs w:val="32"/>
          <w:highlight w:val="none"/>
          <w:u w:val="none"/>
          <w:lang w:val="en-US" w:eastAsia="zh-CN" w:bidi="ar-SA"/>
        </w:rPr>
        <w:t>、肉鸽</w:t>
      </w:r>
      <w:r>
        <w:rPr>
          <w:rFonts w:hint="default" w:ascii="Times New Roman" w:hAnsi="Times New Roman" w:cs="Times New Roman"/>
          <w:b w:val="0"/>
          <w:bCs w:val="0"/>
          <w:color w:val="auto"/>
          <w:kern w:val="2"/>
          <w:sz w:val="32"/>
          <w:szCs w:val="32"/>
          <w:highlight w:val="none"/>
          <w:u w:val="none"/>
          <w:lang w:val="en-US" w:eastAsia="zh-CN" w:bidi="ar-SA"/>
        </w:rPr>
        <w:t>精深加工能力大幅度上升</w:t>
      </w:r>
      <w:r>
        <w:rPr>
          <w:rFonts w:hint="eastAsia" w:cs="Times New Roman"/>
          <w:b w:val="0"/>
          <w:bCs w:val="0"/>
          <w:color w:val="auto"/>
          <w:kern w:val="2"/>
          <w:sz w:val="32"/>
          <w:szCs w:val="32"/>
          <w:highlight w:val="none"/>
          <w:u w:val="none"/>
          <w:lang w:val="en-US" w:eastAsia="zh-CN" w:bidi="ar-SA"/>
        </w:rPr>
        <w:t>，综合效益有效提升</w:t>
      </w:r>
      <w:r>
        <w:rPr>
          <w:rFonts w:hint="default" w:ascii="Times New Roman" w:hAnsi="Times New Roman" w:cs="Times New Roman"/>
          <w:b w:val="0"/>
          <w:bCs w:val="0"/>
          <w:color w:val="auto"/>
          <w:kern w:val="2"/>
          <w:sz w:val="32"/>
          <w:szCs w:val="32"/>
          <w:highlight w:val="none"/>
          <w:u w:val="none"/>
          <w:lang w:val="en-US" w:eastAsia="zh-CN" w:bidi="ar-SA"/>
        </w:rPr>
        <w:t>。清远鸡、丝苗米、肉鸽、生猪等产业提质扩容，生猪、肉鸽全产业链产值</w:t>
      </w:r>
      <w:r>
        <w:rPr>
          <w:rFonts w:hint="eastAsia" w:cs="Times New Roman"/>
          <w:b w:val="0"/>
          <w:bCs w:val="0"/>
          <w:color w:val="auto"/>
          <w:kern w:val="2"/>
          <w:sz w:val="32"/>
          <w:szCs w:val="32"/>
          <w:highlight w:val="none"/>
          <w:u w:val="none"/>
          <w:lang w:val="en-US" w:eastAsia="zh-CN" w:bidi="ar-SA"/>
        </w:rPr>
        <w:t>大幅提高</w:t>
      </w:r>
      <w:r>
        <w:rPr>
          <w:rFonts w:hint="eastAsia" w:ascii="Times New Roman" w:hAnsi="Times New Roman" w:cs="Times New Roman"/>
          <w:b w:val="0"/>
          <w:bCs w:val="0"/>
          <w:color w:val="auto"/>
          <w:kern w:val="2"/>
          <w:sz w:val="32"/>
          <w:szCs w:val="32"/>
          <w:highlight w:val="none"/>
          <w:u w:val="none"/>
          <w:lang w:val="en-US" w:eastAsia="zh-CN" w:bidi="ar-SA"/>
        </w:rPr>
        <w:t>。</w:t>
      </w:r>
    </w:p>
    <w:p w14:paraId="7675FFFF">
      <w:pPr>
        <w:pStyle w:val="2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——和美乡村更加</w:t>
      </w:r>
      <w:bookmarkStart w:id="8" w:name="OLE_LINK2"/>
      <w:r>
        <w:rPr>
          <w:rFonts w:hint="eastAsia" w:ascii="仿宋_GB2312" w:hAnsi="仿宋_GB2312" w:eastAsia="仿宋_GB2312" w:cs="仿宋_GB2312"/>
          <w:b/>
          <w:bCs/>
          <w:color w:val="auto"/>
          <w:sz w:val="32"/>
          <w:szCs w:val="32"/>
          <w:highlight w:val="none"/>
          <w:u w:val="none"/>
          <w:lang w:val="en-US" w:eastAsia="zh-CN"/>
        </w:rPr>
        <w:t>宜居宜业</w:t>
      </w:r>
      <w:bookmarkEnd w:id="8"/>
      <w:r>
        <w:rPr>
          <w:rFonts w:hint="eastAsia" w:ascii="仿宋_GB2312" w:hAnsi="仿宋_GB2312" w:eastAsia="仿宋_GB2312" w:cs="仿宋_GB2312"/>
          <w:b/>
          <w:bCs/>
          <w:color w:val="auto"/>
          <w:sz w:val="32"/>
          <w:szCs w:val="32"/>
          <w:highlight w:val="none"/>
          <w:u w:val="none"/>
          <w:lang w:val="en-US" w:eastAsia="zh-CN"/>
        </w:rPr>
        <w:t>。</w:t>
      </w:r>
      <w:r>
        <w:rPr>
          <w:rFonts w:hint="eastAsia" w:ascii="仿宋_GB2312" w:hAnsi="仿宋_GB2312" w:eastAsia="仿宋_GB2312" w:cs="仿宋_GB2312"/>
          <w:sz w:val="32"/>
          <w:szCs w:val="32"/>
          <w:highlight w:val="none"/>
          <w:u w:val="none"/>
          <w:lang w:val="en-US" w:eastAsia="zh-CN"/>
        </w:rPr>
        <w:t>宜居宜业和美乡村建设取得积极进展</w:t>
      </w:r>
      <w:r>
        <w:rPr>
          <w:rFonts w:hint="eastAsia" w:ascii="仿宋_GB2312" w:hAnsi="仿宋_GB2312" w:cs="仿宋_GB2312"/>
          <w:sz w:val="32"/>
          <w:szCs w:val="32"/>
          <w:highlight w:val="none"/>
          <w:u w:val="none"/>
          <w:lang w:val="en-US" w:eastAsia="zh-CN"/>
        </w:rPr>
        <w:t>，培育</w:t>
      </w:r>
      <w:r>
        <w:rPr>
          <w:rFonts w:hint="eastAsia" w:ascii="仿宋_GB2312" w:hAnsi="仿宋_GB2312" w:eastAsia="仿宋_GB2312" w:cs="仿宋_GB2312"/>
          <w:sz w:val="32"/>
          <w:szCs w:val="32"/>
          <w:highlight w:val="none"/>
          <w:u w:val="none"/>
          <w:lang w:val="en-US" w:eastAsia="zh-CN"/>
        </w:rPr>
        <w:t>一批省级典型村片区，打造</w:t>
      </w:r>
      <w:r>
        <w:rPr>
          <w:rFonts w:hint="eastAsia" w:ascii="仿宋_GB2312" w:hAnsi="仿宋_GB2312" w:cs="仿宋_GB2312"/>
          <w:sz w:val="32"/>
          <w:szCs w:val="32"/>
          <w:highlight w:val="none"/>
          <w:u w:val="none"/>
          <w:lang w:val="en-US" w:eastAsia="zh-CN"/>
        </w:rPr>
        <w:t>4-5个</w:t>
      </w:r>
      <w:r>
        <w:rPr>
          <w:rFonts w:hint="eastAsia" w:ascii="仿宋_GB2312" w:hAnsi="仿宋_GB2312" w:eastAsia="仿宋_GB2312" w:cs="仿宋_GB2312"/>
          <w:sz w:val="32"/>
          <w:szCs w:val="32"/>
          <w:highlight w:val="none"/>
          <w:u w:val="none"/>
          <w:lang w:val="en-US" w:eastAsia="zh-CN"/>
        </w:rPr>
        <w:t>省级镇村片区组团。</w:t>
      </w:r>
    </w:p>
    <w:p w14:paraId="11732FB8">
      <w:pPr>
        <w:pStyle w:val="20"/>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3" w:firstLineChars="200"/>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cs="仿宋_GB2312"/>
          <w:b/>
          <w:bCs/>
          <w:color w:val="auto"/>
          <w:kern w:val="2"/>
          <w:sz w:val="32"/>
          <w:szCs w:val="32"/>
          <w:highlight w:val="none"/>
          <w:u w:val="none"/>
          <w:lang w:val="en-US" w:eastAsia="zh-CN" w:bidi="ar-SA"/>
        </w:rPr>
        <w:t>——城乡融合发展提速提质。</w:t>
      </w:r>
      <w:r>
        <w:rPr>
          <w:rFonts w:hint="eastAsia" w:ascii="仿宋_GB2312" w:hAnsi="仿宋_GB2312" w:cs="仿宋_GB2312"/>
          <w:b w:val="0"/>
          <w:bCs w:val="0"/>
          <w:color w:val="auto"/>
          <w:kern w:val="2"/>
          <w:sz w:val="32"/>
          <w:szCs w:val="32"/>
          <w:highlight w:val="none"/>
          <w:u w:val="none"/>
          <w:lang w:val="en-US" w:eastAsia="zh-CN" w:bidi="ar-SA"/>
        </w:rPr>
        <w:t>城乡差距得到实质性改善，</w:t>
      </w:r>
      <w:r>
        <w:rPr>
          <w:rFonts w:hint="eastAsia" w:ascii="仿宋_GB2312" w:hAnsi="仿宋_GB2312" w:eastAsia="仿宋_GB2312" w:cs="仿宋_GB2312"/>
          <w:sz w:val="32"/>
          <w:szCs w:val="32"/>
          <w:highlight w:val="none"/>
          <w:u w:val="none"/>
          <w:lang w:val="en-US" w:eastAsia="zh-CN"/>
        </w:rPr>
        <w:t>农村综合改革进一步深化。力争“十五五”期末</w:t>
      </w:r>
      <w:r>
        <w:rPr>
          <w:rFonts w:hint="eastAsia" w:ascii="仿宋_GB2312" w:hAnsi="仿宋_GB2312" w:cs="仿宋_GB2312"/>
          <w:sz w:val="32"/>
          <w:szCs w:val="32"/>
          <w:highlight w:val="none"/>
          <w:u w:val="none"/>
          <w:lang w:val="en-US" w:eastAsia="zh-CN"/>
        </w:rPr>
        <w:t>，</w:t>
      </w:r>
      <w:r>
        <w:rPr>
          <w:rFonts w:hint="eastAsia" w:ascii="仿宋_GB2312" w:hAnsi="仿宋_GB2312" w:eastAsia="仿宋_GB2312" w:cs="仿宋_GB2312"/>
          <w:sz w:val="32"/>
          <w:szCs w:val="32"/>
          <w:highlight w:val="none"/>
          <w:u w:val="none"/>
          <w:lang w:val="en-US" w:eastAsia="zh-CN"/>
        </w:rPr>
        <w:t>农村居民人均可支配收入达3.8万元以上，城乡居民收入比缩小至1.30以内。</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8"/>
        <w:gridCol w:w="3172"/>
        <w:gridCol w:w="620"/>
        <w:gridCol w:w="1289"/>
        <w:gridCol w:w="1691"/>
        <w:gridCol w:w="1132"/>
      </w:tblGrid>
      <w:tr w14:paraId="56B7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132" w:type="dxa"/>
            <w:gridSpan w:val="6"/>
            <w:vAlign w:val="center"/>
          </w:tcPr>
          <w:p w14:paraId="39CD2BDD">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bCs/>
                <w:color w:val="auto"/>
                <w:sz w:val="24"/>
                <w:szCs w:val="24"/>
                <w:highlight w:val="none"/>
                <w:u w:val="none"/>
                <w:lang w:val="en-US" w:eastAsia="zh-CN"/>
              </w:rPr>
            </w:pPr>
            <w:r>
              <w:rPr>
                <w:rFonts w:hint="eastAsia" w:ascii="方正楷体_GB2312" w:hAnsi="方正楷体_GB2312" w:eastAsia="方正楷体_GB2312" w:cs="方正楷体_GB2312"/>
                <w:b w:val="0"/>
                <w:bCs w:val="0"/>
                <w:color w:val="auto"/>
                <w:sz w:val="28"/>
                <w:szCs w:val="28"/>
                <w:highlight w:val="none"/>
                <w:u w:val="none"/>
                <w:shd w:val="clear" w:fill="auto"/>
                <w:lang w:val="en-US" w:eastAsia="zh-CN" w:bidi="ar"/>
              </w:rPr>
              <w:t>专栏1英德市“十五五”时期加快农业农村现代化主要指标</w:t>
            </w:r>
          </w:p>
        </w:tc>
      </w:tr>
      <w:tr w14:paraId="568EB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0" w:type="auto"/>
            <w:vAlign w:val="center"/>
          </w:tcPr>
          <w:p w14:paraId="7385FD8B">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bCs/>
                <w:color w:val="auto"/>
                <w:sz w:val="24"/>
                <w:szCs w:val="24"/>
                <w:highlight w:val="none"/>
                <w:u w:val="none"/>
                <w:lang w:val="en-US" w:eastAsia="zh-CN"/>
              </w:rPr>
            </w:pPr>
            <w:r>
              <w:rPr>
                <w:rFonts w:hint="default" w:ascii="Times New Roman" w:hAnsi="Times New Roman" w:cs="Times New Roman"/>
                <w:b/>
                <w:bCs/>
                <w:color w:val="auto"/>
                <w:sz w:val="24"/>
                <w:szCs w:val="24"/>
                <w:highlight w:val="none"/>
                <w:u w:val="none"/>
                <w:lang w:val="en-US" w:eastAsia="zh-CN"/>
              </w:rPr>
              <w:t>序号</w:t>
            </w:r>
          </w:p>
        </w:tc>
        <w:tc>
          <w:tcPr>
            <w:tcW w:w="0" w:type="auto"/>
            <w:vAlign w:val="center"/>
          </w:tcPr>
          <w:p w14:paraId="0C48035D">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bCs/>
                <w:color w:val="auto"/>
                <w:sz w:val="24"/>
                <w:szCs w:val="24"/>
                <w:highlight w:val="none"/>
                <w:u w:val="none"/>
                <w:lang w:val="en-US" w:eastAsia="zh-CN"/>
              </w:rPr>
            </w:pPr>
            <w:r>
              <w:rPr>
                <w:rFonts w:hint="default" w:ascii="Times New Roman" w:hAnsi="Times New Roman" w:cs="Times New Roman"/>
                <w:b/>
                <w:bCs/>
                <w:color w:val="auto"/>
                <w:sz w:val="24"/>
                <w:szCs w:val="24"/>
                <w:highlight w:val="none"/>
                <w:u w:val="none"/>
                <w:lang w:val="en-US" w:eastAsia="zh-CN"/>
              </w:rPr>
              <w:t>主要指标</w:t>
            </w:r>
          </w:p>
        </w:tc>
        <w:tc>
          <w:tcPr>
            <w:tcW w:w="0" w:type="auto"/>
            <w:vAlign w:val="center"/>
          </w:tcPr>
          <w:p w14:paraId="2180F5D2">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bCs/>
                <w:color w:val="auto"/>
                <w:sz w:val="24"/>
                <w:szCs w:val="24"/>
                <w:highlight w:val="none"/>
                <w:u w:val="none"/>
                <w:lang w:val="en-US" w:eastAsia="zh-CN"/>
              </w:rPr>
            </w:pPr>
            <w:r>
              <w:rPr>
                <w:rFonts w:hint="default" w:ascii="Times New Roman" w:hAnsi="Times New Roman" w:cs="Times New Roman"/>
                <w:b/>
                <w:bCs/>
                <w:color w:val="auto"/>
                <w:sz w:val="24"/>
                <w:szCs w:val="24"/>
                <w:highlight w:val="none"/>
                <w:u w:val="none"/>
                <w:lang w:val="en-US" w:eastAsia="zh-CN"/>
              </w:rPr>
              <w:t>单位</w:t>
            </w:r>
          </w:p>
        </w:tc>
        <w:tc>
          <w:tcPr>
            <w:tcW w:w="1289" w:type="dxa"/>
            <w:vAlign w:val="center"/>
          </w:tcPr>
          <w:p w14:paraId="085209C1">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bCs/>
                <w:color w:val="auto"/>
                <w:sz w:val="24"/>
                <w:szCs w:val="24"/>
                <w:highlight w:val="none"/>
                <w:u w:val="none"/>
                <w:lang w:val="en-US" w:eastAsia="zh-CN"/>
              </w:rPr>
            </w:pPr>
            <w:r>
              <w:rPr>
                <w:rFonts w:hint="default" w:ascii="Times New Roman" w:hAnsi="Times New Roman" w:cs="Times New Roman"/>
                <w:b/>
                <w:bCs/>
                <w:color w:val="auto"/>
                <w:sz w:val="24"/>
                <w:szCs w:val="24"/>
                <w:highlight w:val="none"/>
                <w:u w:val="none"/>
                <w:lang w:val="en-US" w:eastAsia="zh-CN"/>
              </w:rPr>
              <w:t>2025年基期值</w:t>
            </w:r>
          </w:p>
        </w:tc>
        <w:tc>
          <w:tcPr>
            <w:tcW w:w="0" w:type="auto"/>
            <w:vAlign w:val="center"/>
          </w:tcPr>
          <w:p w14:paraId="4F64D2BC">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bCs/>
                <w:color w:val="auto"/>
                <w:sz w:val="24"/>
                <w:szCs w:val="24"/>
                <w:highlight w:val="none"/>
                <w:u w:val="none"/>
                <w:lang w:val="en-US" w:eastAsia="zh-CN"/>
              </w:rPr>
            </w:pPr>
            <w:r>
              <w:rPr>
                <w:rFonts w:hint="default" w:ascii="Times New Roman" w:hAnsi="Times New Roman" w:cs="Times New Roman"/>
                <w:b/>
                <w:bCs/>
                <w:color w:val="auto"/>
                <w:sz w:val="24"/>
                <w:szCs w:val="24"/>
                <w:highlight w:val="none"/>
                <w:u w:val="none"/>
                <w:lang w:val="en-US" w:eastAsia="zh-CN"/>
              </w:rPr>
              <w:t>2030年目标值</w:t>
            </w:r>
          </w:p>
        </w:tc>
        <w:tc>
          <w:tcPr>
            <w:tcW w:w="1132" w:type="dxa"/>
            <w:vAlign w:val="center"/>
          </w:tcPr>
          <w:p w14:paraId="133D14DD">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bCs/>
                <w:color w:val="auto"/>
                <w:sz w:val="24"/>
                <w:szCs w:val="24"/>
                <w:highlight w:val="none"/>
                <w:u w:val="none"/>
                <w:lang w:val="en-US" w:eastAsia="zh-CN"/>
              </w:rPr>
            </w:pPr>
            <w:r>
              <w:rPr>
                <w:rFonts w:hint="default" w:ascii="Times New Roman" w:hAnsi="Times New Roman" w:cs="Times New Roman"/>
                <w:b/>
                <w:bCs/>
                <w:color w:val="auto"/>
                <w:sz w:val="24"/>
                <w:szCs w:val="24"/>
                <w:highlight w:val="none"/>
                <w:u w:val="none"/>
                <w:lang w:val="en-US" w:eastAsia="zh-CN"/>
              </w:rPr>
              <w:t>指标属性</w:t>
            </w:r>
          </w:p>
        </w:tc>
      </w:tr>
      <w:tr w14:paraId="53FA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156BCCBE">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1</w:t>
            </w:r>
          </w:p>
        </w:tc>
        <w:tc>
          <w:tcPr>
            <w:tcW w:w="0" w:type="auto"/>
            <w:vAlign w:val="center"/>
          </w:tcPr>
          <w:p w14:paraId="619FE930">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农林牧渔业</w:t>
            </w:r>
            <w:r>
              <w:rPr>
                <w:rFonts w:hint="eastAsia" w:ascii="Times New Roman" w:hAnsi="Times New Roman" w:eastAsia="仿宋_GB2312" w:cs="Times New Roman"/>
                <w:color w:val="auto"/>
                <w:sz w:val="24"/>
                <w:szCs w:val="24"/>
                <w:highlight w:val="none"/>
                <w:u w:val="none"/>
                <w:lang w:val="en-US" w:eastAsia="zh-CN"/>
              </w:rPr>
              <w:t>总产值</w:t>
            </w:r>
          </w:p>
        </w:tc>
        <w:tc>
          <w:tcPr>
            <w:tcW w:w="0" w:type="auto"/>
            <w:vAlign w:val="center"/>
          </w:tcPr>
          <w:p w14:paraId="3A3685E2">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亿元</w:t>
            </w:r>
          </w:p>
        </w:tc>
        <w:tc>
          <w:tcPr>
            <w:tcW w:w="1289" w:type="dxa"/>
            <w:vAlign w:val="center"/>
          </w:tcPr>
          <w:p w14:paraId="2F8D1EF5">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192.31</w:t>
            </w:r>
          </w:p>
        </w:tc>
        <w:tc>
          <w:tcPr>
            <w:tcW w:w="0" w:type="auto"/>
            <w:vAlign w:val="center"/>
          </w:tcPr>
          <w:p w14:paraId="2C32BC66">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257</w:t>
            </w:r>
          </w:p>
        </w:tc>
        <w:tc>
          <w:tcPr>
            <w:tcW w:w="1132" w:type="dxa"/>
            <w:vAlign w:val="center"/>
          </w:tcPr>
          <w:p w14:paraId="4124A871">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预期性</w:t>
            </w:r>
          </w:p>
        </w:tc>
      </w:tr>
      <w:tr w14:paraId="7D71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79CCFB0B">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2</w:t>
            </w:r>
          </w:p>
        </w:tc>
        <w:tc>
          <w:tcPr>
            <w:tcW w:w="0" w:type="auto"/>
            <w:vAlign w:val="center"/>
          </w:tcPr>
          <w:p w14:paraId="0B05B25A">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优势产业和特色产业</w:t>
            </w:r>
            <w:r>
              <w:rPr>
                <w:rFonts w:hint="eastAsia" w:ascii="Times New Roman" w:hAnsi="Times New Roman" w:eastAsia="仿宋_GB2312" w:cs="Times New Roman"/>
                <w:color w:val="auto"/>
                <w:sz w:val="24"/>
                <w:szCs w:val="24"/>
                <w:highlight w:val="none"/>
                <w:u w:val="none"/>
                <w:lang w:val="en-US" w:eastAsia="zh-CN"/>
              </w:rPr>
              <w:t>全产业链总</w:t>
            </w:r>
            <w:r>
              <w:rPr>
                <w:rFonts w:hint="default" w:ascii="Times New Roman" w:hAnsi="Times New Roman" w:eastAsia="仿宋_GB2312" w:cs="Times New Roman"/>
                <w:color w:val="auto"/>
                <w:sz w:val="24"/>
                <w:szCs w:val="24"/>
                <w:highlight w:val="none"/>
                <w:u w:val="none"/>
                <w:lang w:val="en-US" w:eastAsia="zh-CN"/>
              </w:rPr>
              <w:t>产值</w:t>
            </w:r>
          </w:p>
        </w:tc>
        <w:tc>
          <w:tcPr>
            <w:tcW w:w="0" w:type="auto"/>
            <w:vAlign w:val="center"/>
          </w:tcPr>
          <w:p w14:paraId="364A7B89">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p>
        </w:tc>
        <w:tc>
          <w:tcPr>
            <w:tcW w:w="1289" w:type="dxa"/>
            <w:vAlign w:val="center"/>
          </w:tcPr>
          <w:p w14:paraId="789C9320">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hAnsi="Times New Roman" w:eastAsia="仿宋_GB2312" w:cs="Times New Roman"/>
                <w:color w:val="auto"/>
                <w:sz w:val="24"/>
                <w:szCs w:val="24"/>
                <w:highlight w:val="none"/>
                <w:u w:val="none"/>
                <w:lang w:val="en-US" w:eastAsia="zh-CN"/>
              </w:rPr>
              <w:t>-</w:t>
            </w:r>
          </w:p>
        </w:tc>
        <w:tc>
          <w:tcPr>
            <w:tcW w:w="0" w:type="auto"/>
            <w:vAlign w:val="center"/>
          </w:tcPr>
          <w:p w14:paraId="6C59ACBB">
            <w:pPr>
              <w:suppressLineNumbers w:val="0"/>
              <w:bidi w:val="0"/>
              <w:snapToGrid w:val="0"/>
              <w:spacing w:before="0" w:beforeAutospacing="0" w:after="0" w:afterAutospacing="0" w:line="240" w:lineRule="auto"/>
              <w:ind w:left="0" w:leftChars="0" w:right="0" w:rightChars="0" w:firstLine="0" w:firstLineChars="0"/>
              <w:jc w:val="right"/>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&gt;500</w:t>
            </w:r>
          </w:p>
        </w:tc>
        <w:tc>
          <w:tcPr>
            <w:tcW w:w="1132" w:type="dxa"/>
            <w:vAlign w:val="center"/>
          </w:tcPr>
          <w:p w14:paraId="0B7A847A">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预期性</w:t>
            </w:r>
          </w:p>
        </w:tc>
      </w:tr>
      <w:tr w14:paraId="4731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5C777762">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3</w:t>
            </w:r>
          </w:p>
        </w:tc>
        <w:tc>
          <w:tcPr>
            <w:tcW w:w="0" w:type="auto"/>
            <w:vAlign w:val="center"/>
          </w:tcPr>
          <w:p w14:paraId="2EA2CEDD">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粮食综合生产能力</w:t>
            </w:r>
          </w:p>
        </w:tc>
        <w:tc>
          <w:tcPr>
            <w:tcW w:w="0" w:type="auto"/>
            <w:vAlign w:val="center"/>
          </w:tcPr>
          <w:p w14:paraId="3E5A90A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仿宋_GB2312" w:cs="Times New Roman"/>
                <w:sz w:val="24"/>
                <w:szCs w:val="24"/>
                <w:highlight w:val="none"/>
                <w:u w:val="none"/>
                <w:lang w:val="en-US" w:eastAsia="zh-CN"/>
              </w:rPr>
            </w:pPr>
            <w:r>
              <w:rPr>
                <w:rFonts w:hint="eastAsia" w:ascii="Times New Roman" w:hAnsi="Times New Roman" w:eastAsia="仿宋_GB2312" w:cs="Times New Roman"/>
                <w:sz w:val="24"/>
                <w:szCs w:val="24"/>
                <w:highlight w:val="none"/>
                <w:u w:val="none"/>
                <w:lang w:val="en-US" w:eastAsia="zh-CN"/>
              </w:rPr>
              <w:t>万吨</w:t>
            </w:r>
          </w:p>
        </w:tc>
        <w:tc>
          <w:tcPr>
            <w:tcW w:w="1289" w:type="dxa"/>
            <w:vAlign w:val="center"/>
          </w:tcPr>
          <w:p w14:paraId="2ACCB842">
            <w:pPr>
              <w:suppressLineNumbers w:val="0"/>
              <w:snapToGrid w:val="0"/>
              <w:spacing w:before="0" w:beforeAutospacing="0" w:after="0" w:afterAutospacing="0" w:line="240" w:lineRule="auto"/>
              <w:ind w:left="0" w:leftChars="0" w:right="0" w:rightChars="0" w:firstLine="0" w:firstLineChars="0"/>
              <w:jc w:val="right"/>
              <w:rPr>
                <w:rFonts w:hint="eastAsia" w:ascii="Times New Roman" w:hAnsi="Times New Roman" w:eastAsia="仿宋_GB2312" w:cs="Times New Roman"/>
                <w:sz w:val="24"/>
                <w:szCs w:val="24"/>
                <w:highlight w:val="none"/>
                <w:u w:val="none"/>
                <w:lang w:val="en-US" w:eastAsia="zh-CN"/>
              </w:rPr>
            </w:pPr>
            <w:r>
              <w:rPr>
                <w:rFonts w:hint="eastAsia" w:ascii="Times New Roman" w:hAnsi="Times New Roman" w:eastAsia="仿宋_GB2312" w:cs="Times New Roman"/>
                <w:kern w:val="2"/>
                <w:sz w:val="24"/>
                <w:szCs w:val="24"/>
                <w:highlight w:val="none"/>
                <w:u w:val="none"/>
                <w:lang w:val="en-US"/>
              </w:rPr>
              <w:t>&gt;</w:t>
            </w:r>
            <w:r>
              <w:rPr>
                <w:rFonts w:hint="eastAsia" w:ascii="Times New Roman" w:hAnsi="Times New Roman" w:eastAsia="仿宋_GB2312" w:cs="Times New Roman"/>
                <w:sz w:val="24"/>
                <w:szCs w:val="24"/>
                <w:highlight w:val="none"/>
                <w:u w:val="none"/>
                <w:lang w:val="en-US"/>
              </w:rPr>
              <w:t>20</w:t>
            </w:r>
          </w:p>
        </w:tc>
        <w:tc>
          <w:tcPr>
            <w:tcW w:w="0" w:type="auto"/>
            <w:vAlign w:val="center"/>
          </w:tcPr>
          <w:p w14:paraId="435353B5">
            <w:pPr>
              <w:widowControl/>
              <w:suppressLineNumbers w:val="0"/>
              <w:snapToGrid w:val="0"/>
              <w:spacing w:before="0" w:beforeAutospacing="0" w:after="0" w:afterAutospacing="0" w:line="240" w:lineRule="auto"/>
              <w:ind w:left="0" w:leftChars="0" w:right="0" w:rightChars="0" w:firstLine="0" w:firstLineChars="0"/>
              <w:jc w:val="right"/>
              <w:rPr>
                <w:rFonts w:hint="eastAsia" w:ascii="Times New Roman" w:hAnsi="Times New Roman" w:eastAsia="仿宋_GB2312" w:cs="Times New Roman"/>
                <w:sz w:val="24"/>
                <w:szCs w:val="24"/>
                <w:highlight w:val="none"/>
                <w:u w:val="none"/>
                <w:lang w:val="en-US" w:eastAsia="zh-CN"/>
              </w:rPr>
            </w:pPr>
            <w:r>
              <w:rPr>
                <w:rFonts w:hint="eastAsia" w:ascii="Times New Roman" w:hAnsi="Times New Roman" w:eastAsia="仿宋_GB2312" w:cs="Times New Roman"/>
                <w:kern w:val="2"/>
                <w:sz w:val="24"/>
                <w:highlight w:val="none"/>
                <w:u w:val="none"/>
              </w:rPr>
              <w:t>&gt;20</w:t>
            </w:r>
          </w:p>
        </w:tc>
        <w:tc>
          <w:tcPr>
            <w:tcW w:w="1132" w:type="dxa"/>
            <w:vAlign w:val="center"/>
          </w:tcPr>
          <w:p w14:paraId="50C331E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仿宋_GB2312" w:cs="Times New Roman"/>
                <w:sz w:val="24"/>
                <w:szCs w:val="24"/>
                <w:highlight w:val="none"/>
                <w:u w:val="none"/>
                <w:lang w:val="en-US" w:eastAsia="zh-CN"/>
              </w:rPr>
            </w:pPr>
            <w:r>
              <w:rPr>
                <w:rFonts w:hint="eastAsia" w:ascii="Times New Roman" w:hAnsi="Times New Roman" w:eastAsia="仿宋_GB2312" w:cs="Times New Roman"/>
                <w:sz w:val="24"/>
                <w:szCs w:val="24"/>
                <w:highlight w:val="none"/>
                <w:u w:val="none"/>
                <w:lang w:val="en-US" w:eastAsia="zh-CN"/>
              </w:rPr>
              <w:t>约束性</w:t>
            </w:r>
          </w:p>
        </w:tc>
      </w:tr>
      <w:tr w14:paraId="3568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2BCB8E97">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4</w:t>
            </w:r>
          </w:p>
        </w:tc>
        <w:tc>
          <w:tcPr>
            <w:tcW w:w="0" w:type="auto"/>
            <w:vAlign w:val="center"/>
          </w:tcPr>
          <w:p w14:paraId="313ACE87">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高标准农田面积</w:t>
            </w:r>
          </w:p>
        </w:tc>
        <w:tc>
          <w:tcPr>
            <w:tcW w:w="0" w:type="auto"/>
            <w:vAlign w:val="center"/>
          </w:tcPr>
          <w:p w14:paraId="337ED871">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万亩</w:t>
            </w:r>
          </w:p>
        </w:tc>
        <w:tc>
          <w:tcPr>
            <w:tcW w:w="1289" w:type="dxa"/>
            <w:vAlign w:val="center"/>
          </w:tcPr>
          <w:p w14:paraId="03EE3742">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118.50</w:t>
            </w:r>
          </w:p>
        </w:tc>
        <w:tc>
          <w:tcPr>
            <w:tcW w:w="0" w:type="auto"/>
            <w:vAlign w:val="center"/>
          </w:tcPr>
          <w:p w14:paraId="25472E74">
            <w:pPr>
              <w:suppressLineNumbers w:val="0"/>
              <w:bidi w:val="0"/>
              <w:snapToGrid w:val="0"/>
              <w:spacing w:before="0" w:beforeAutospacing="0" w:after="0" w:afterAutospacing="0" w:line="240" w:lineRule="auto"/>
              <w:ind w:left="0" w:leftChars="0" w:right="0" w:rightChars="0" w:firstLine="0" w:firstLineChars="0"/>
              <w:jc w:val="right"/>
              <w:rPr>
                <w:rFonts w:hint="default" w:ascii="Times New Roman" w:hAnsi="Times New Roman" w:eastAsia="仿宋_GB2312" w:cs="Times New Roman"/>
                <w:color w:val="auto"/>
                <w:sz w:val="24"/>
                <w:szCs w:val="24"/>
                <w:highlight w:val="none"/>
                <w:u w:val="none"/>
                <w:lang w:val="en-US" w:eastAsia="zh-CN"/>
              </w:rPr>
            </w:pPr>
            <w:r>
              <w:rPr>
                <w:rFonts w:hint="eastAsia" w:ascii="Times New Roman" w:hAnsi="Times New Roman" w:eastAsia="仿宋_GB2312" w:cs="Times New Roman"/>
                <w:sz w:val="24"/>
                <w:szCs w:val="24"/>
                <w:highlight w:val="none"/>
                <w:u w:val="none"/>
                <w:lang w:val="en-US" w:eastAsia="zh-CN"/>
              </w:rPr>
              <w:t>完成上级下达任务</w:t>
            </w:r>
          </w:p>
        </w:tc>
        <w:tc>
          <w:tcPr>
            <w:tcW w:w="1132" w:type="dxa"/>
            <w:vAlign w:val="center"/>
          </w:tcPr>
          <w:p w14:paraId="7E95C25D">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预期</w:t>
            </w:r>
            <w:r>
              <w:rPr>
                <w:rFonts w:hint="default" w:ascii="Times New Roman" w:hAnsi="Times New Roman" w:eastAsia="仿宋_GB2312" w:cs="Times New Roman"/>
                <w:color w:val="auto"/>
                <w:sz w:val="24"/>
                <w:szCs w:val="24"/>
                <w:highlight w:val="none"/>
                <w:u w:val="none"/>
                <w:lang w:val="en-US" w:eastAsia="zh-CN"/>
              </w:rPr>
              <w:t>性</w:t>
            </w:r>
          </w:p>
        </w:tc>
      </w:tr>
      <w:tr w14:paraId="7670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579B16C2">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5</w:t>
            </w:r>
          </w:p>
        </w:tc>
        <w:tc>
          <w:tcPr>
            <w:tcW w:w="0" w:type="auto"/>
            <w:vAlign w:val="center"/>
          </w:tcPr>
          <w:p w14:paraId="402C7882">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rPr>
              <w:t>能繁母猪保有量</w:t>
            </w:r>
          </w:p>
        </w:tc>
        <w:tc>
          <w:tcPr>
            <w:tcW w:w="0" w:type="auto"/>
            <w:vAlign w:val="center"/>
          </w:tcPr>
          <w:p w14:paraId="10BD2A2A">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万头</w:t>
            </w:r>
          </w:p>
        </w:tc>
        <w:tc>
          <w:tcPr>
            <w:tcW w:w="1289" w:type="dxa"/>
            <w:vAlign w:val="center"/>
          </w:tcPr>
          <w:p w14:paraId="5F41B7BE">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4.19</w:t>
            </w:r>
          </w:p>
        </w:tc>
        <w:tc>
          <w:tcPr>
            <w:tcW w:w="0" w:type="auto"/>
            <w:vAlign w:val="center"/>
          </w:tcPr>
          <w:p w14:paraId="632525BF">
            <w:pPr>
              <w:suppressLineNumbers w:val="0"/>
              <w:bidi w:val="0"/>
              <w:snapToGrid w:val="0"/>
              <w:spacing w:before="0" w:beforeAutospacing="0" w:after="0" w:afterAutospacing="0" w:line="240" w:lineRule="auto"/>
              <w:ind w:left="0" w:leftChars="0" w:right="0" w:rightChars="0" w:firstLine="0" w:firstLineChars="0"/>
              <w:jc w:val="right"/>
              <w:rPr>
                <w:rFonts w:hint="default" w:ascii="Times New Roman" w:hAnsi="Times New Roman" w:eastAsia="仿宋_GB2312" w:cs="Times New Roman"/>
                <w:color w:val="auto"/>
                <w:sz w:val="24"/>
                <w:szCs w:val="24"/>
                <w:highlight w:val="none"/>
                <w:u w:val="none"/>
                <w:lang w:val="en-US" w:eastAsia="zh-CN"/>
              </w:rPr>
            </w:pPr>
            <w:r>
              <w:rPr>
                <w:rFonts w:hint="eastAsia" w:ascii="Times New Roman" w:hAnsi="Times New Roman" w:eastAsia="仿宋_GB2312" w:cs="Times New Roman"/>
                <w:sz w:val="24"/>
                <w:szCs w:val="24"/>
                <w:highlight w:val="none"/>
                <w:u w:val="none"/>
                <w:lang w:val="en-US" w:eastAsia="zh-CN"/>
              </w:rPr>
              <w:t>完成上级下达任务</w:t>
            </w:r>
          </w:p>
        </w:tc>
        <w:tc>
          <w:tcPr>
            <w:tcW w:w="1132" w:type="dxa"/>
            <w:vAlign w:val="center"/>
          </w:tcPr>
          <w:p w14:paraId="3622D08C">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预期性</w:t>
            </w:r>
          </w:p>
        </w:tc>
      </w:tr>
      <w:tr w14:paraId="1F6C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6DF59493">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6</w:t>
            </w:r>
          </w:p>
        </w:tc>
        <w:tc>
          <w:tcPr>
            <w:tcW w:w="0" w:type="auto"/>
            <w:vAlign w:val="center"/>
          </w:tcPr>
          <w:p w14:paraId="108182B5">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水稻综合机械化率</w:t>
            </w:r>
          </w:p>
        </w:tc>
        <w:tc>
          <w:tcPr>
            <w:tcW w:w="0" w:type="auto"/>
            <w:vAlign w:val="center"/>
          </w:tcPr>
          <w:p w14:paraId="2093DCFF">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w:t>
            </w:r>
          </w:p>
        </w:tc>
        <w:tc>
          <w:tcPr>
            <w:tcW w:w="1289" w:type="dxa"/>
            <w:vAlign w:val="center"/>
          </w:tcPr>
          <w:p w14:paraId="45D30838">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80.20</w:t>
            </w:r>
          </w:p>
        </w:tc>
        <w:tc>
          <w:tcPr>
            <w:tcW w:w="0" w:type="auto"/>
            <w:vAlign w:val="center"/>
          </w:tcPr>
          <w:p w14:paraId="680367D9">
            <w:pPr>
              <w:suppressLineNumbers w:val="0"/>
              <w:bidi w:val="0"/>
              <w:snapToGrid w:val="0"/>
              <w:spacing w:before="0" w:beforeAutospacing="0" w:after="0" w:afterAutospacing="0" w:line="240" w:lineRule="auto"/>
              <w:ind w:left="0" w:leftChars="0" w:right="0" w:rightChars="0" w:firstLine="0" w:firstLineChars="0"/>
              <w:jc w:val="right"/>
              <w:rPr>
                <w:rFonts w:hint="default" w:ascii="Times New Roman" w:hAnsi="Times New Roman" w:eastAsia="仿宋_GB2312" w:cs="Times New Roman"/>
                <w:color w:val="auto"/>
                <w:sz w:val="24"/>
                <w:szCs w:val="24"/>
                <w:highlight w:val="none"/>
                <w:u w:val="none"/>
                <w:lang w:val="en-US" w:eastAsia="zh-CN"/>
              </w:rPr>
            </w:pPr>
            <w:r>
              <w:rPr>
                <w:rFonts w:hint="eastAsia" w:ascii="Times New Roman" w:hAnsi="Times New Roman" w:eastAsia="仿宋_GB2312" w:cs="Times New Roman"/>
                <w:sz w:val="24"/>
                <w:szCs w:val="24"/>
                <w:highlight w:val="none"/>
                <w:u w:val="none"/>
                <w:lang w:val="en-US" w:eastAsia="zh-CN"/>
              </w:rPr>
              <w:t>≥8</w:t>
            </w:r>
            <w:r>
              <w:rPr>
                <w:rFonts w:hint="eastAsia" w:ascii="Times New Roman" w:eastAsia="仿宋_GB2312" w:cs="Times New Roman"/>
                <w:sz w:val="24"/>
                <w:szCs w:val="24"/>
                <w:highlight w:val="none"/>
                <w:u w:val="none"/>
                <w:lang w:val="en-US" w:eastAsia="zh-CN"/>
              </w:rPr>
              <w:t>5</w:t>
            </w:r>
          </w:p>
        </w:tc>
        <w:tc>
          <w:tcPr>
            <w:tcW w:w="1132" w:type="dxa"/>
            <w:vAlign w:val="center"/>
          </w:tcPr>
          <w:p w14:paraId="5CCE9035">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预期性</w:t>
            </w:r>
          </w:p>
        </w:tc>
      </w:tr>
      <w:tr w14:paraId="396C4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43040BBD">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sz w:val="24"/>
                <w:szCs w:val="24"/>
                <w:highlight w:val="none"/>
                <w:u w:val="none"/>
                <w:lang w:val="en-US" w:eastAsia="zh-CN"/>
              </w:rPr>
              <w:t>7</w:t>
            </w:r>
          </w:p>
        </w:tc>
        <w:tc>
          <w:tcPr>
            <w:tcW w:w="0" w:type="auto"/>
            <w:vAlign w:val="center"/>
          </w:tcPr>
          <w:p w14:paraId="69789666">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农作物耕种收综合机械化率</w:t>
            </w:r>
          </w:p>
        </w:tc>
        <w:tc>
          <w:tcPr>
            <w:tcW w:w="0" w:type="auto"/>
            <w:vAlign w:val="center"/>
          </w:tcPr>
          <w:p w14:paraId="43910A8B">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w:t>
            </w:r>
          </w:p>
        </w:tc>
        <w:tc>
          <w:tcPr>
            <w:tcW w:w="1289" w:type="dxa"/>
            <w:vAlign w:val="center"/>
          </w:tcPr>
          <w:p w14:paraId="58A36FE1">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52.25</w:t>
            </w:r>
          </w:p>
        </w:tc>
        <w:tc>
          <w:tcPr>
            <w:tcW w:w="0" w:type="auto"/>
            <w:vAlign w:val="center"/>
          </w:tcPr>
          <w:p w14:paraId="3A737CC1">
            <w:pPr>
              <w:suppressLineNumbers w:val="0"/>
              <w:bidi w:val="0"/>
              <w:snapToGrid w:val="0"/>
              <w:spacing w:before="0" w:beforeAutospacing="0" w:after="0" w:afterAutospacing="0" w:line="240" w:lineRule="auto"/>
              <w:ind w:left="0" w:leftChars="0" w:right="0" w:rightChars="0" w:firstLine="0" w:firstLineChars="0"/>
              <w:jc w:val="right"/>
              <w:rPr>
                <w:rFonts w:hint="default" w:ascii="Times New Roman" w:hAnsi="Times New Roman" w:eastAsia="仿宋_GB2312" w:cs="Times New Roman"/>
                <w:sz w:val="24"/>
                <w:szCs w:val="24"/>
                <w:highlight w:val="none"/>
                <w:u w:val="none"/>
                <w:lang w:val="en-US" w:eastAsia="zh-CN"/>
              </w:rPr>
            </w:pPr>
            <w:r>
              <w:rPr>
                <w:rFonts w:hint="eastAsia" w:ascii="Times New Roman" w:eastAsia="仿宋_GB2312" w:cs="Times New Roman"/>
                <w:sz w:val="24"/>
                <w:szCs w:val="24"/>
                <w:highlight w:val="none"/>
                <w:u w:val="none"/>
                <w:lang w:val="en-US" w:eastAsia="zh-CN"/>
              </w:rPr>
              <w:t>&gt;58</w:t>
            </w:r>
          </w:p>
        </w:tc>
        <w:tc>
          <w:tcPr>
            <w:tcW w:w="1132" w:type="dxa"/>
            <w:vAlign w:val="center"/>
          </w:tcPr>
          <w:p w14:paraId="448AED3E">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预期性</w:t>
            </w:r>
          </w:p>
        </w:tc>
      </w:tr>
      <w:tr w14:paraId="3B20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436C81BD">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sz w:val="24"/>
                <w:szCs w:val="24"/>
                <w:highlight w:val="none"/>
                <w:u w:val="none"/>
                <w:lang w:val="en-US" w:eastAsia="zh-CN"/>
              </w:rPr>
              <w:t>8</w:t>
            </w:r>
          </w:p>
        </w:tc>
        <w:tc>
          <w:tcPr>
            <w:tcW w:w="0" w:type="auto"/>
            <w:vAlign w:val="center"/>
          </w:tcPr>
          <w:p w14:paraId="3F3305B7">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农产品质量安全监测合格率</w:t>
            </w:r>
          </w:p>
        </w:tc>
        <w:tc>
          <w:tcPr>
            <w:tcW w:w="0" w:type="auto"/>
            <w:vAlign w:val="center"/>
          </w:tcPr>
          <w:p w14:paraId="1BABDA33">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w:t>
            </w:r>
          </w:p>
        </w:tc>
        <w:tc>
          <w:tcPr>
            <w:tcW w:w="1289" w:type="dxa"/>
            <w:vAlign w:val="center"/>
          </w:tcPr>
          <w:p w14:paraId="26551A7E">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98</w:t>
            </w:r>
          </w:p>
        </w:tc>
        <w:tc>
          <w:tcPr>
            <w:tcW w:w="0" w:type="auto"/>
            <w:vAlign w:val="center"/>
          </w:tcPr>
          <w:p w14:paraId="73AF1027">
            <w:pPr>
              <w:suppressLineNumbers w:val="0"/>
              <w:bidi w:val="0"/>
              <w:snapToGrid w:val="0"/>
              <w:spacing w:before="0" w:beforeAutospacing="0" w:after="0" w:afterAutospacing="0" w:line="240" w:lineRule="auto"/>
              <w:ind w:left="0" w:leftChars="0" w:right="0" w:rightChars="0" w:firstLine="0" w:firstLineChars="0"/>
              <w:jc w:val="right"/>
              <w:rPr>
                <w:rFonts w:hint="default" w:ascii="Times New Roman" w:hAnsi="Times New Roman" w:eastAsia="仿宋_GB2312" w:cs="Times New Roman"/>
                <w:color w:val="auto"/>
                <w:sz w:val="24"/>
                <w:szCs w:val="24"/>
                <w:highlight w:val="none"/>
                <w:u w:val="none"/>
                <w:lang w:val="en-US" w:eastAsia="zh-CN"/>
              </w:rPr>
            </w:pPr>
            <w:r>
              <w:rPr>
                <w:rFonts w:hint="eastAsia" w:ascii="Times New Roman" w:hAnsi="Times New Roman" w:eastAsia="仿宋_GB2312" w:cs="Times New Roman"/>
                <w:sz w:val="24"/>
                <w:szCs w:val="24"/>
                <w:highlight w:val="none"/>
                <w:u w:val="none"/>
                <w:lang w:val="en-US" w:eastAsia="zh-CN"/>
              </w:rPr>
              <w:t>≥98</w:t>
            </w:r>
          </w:p>
        </w:tc>
        <w:tc>
          <w:tcPr>
            <w:tcW w:w="1132" w:type="dxa"/>
            <w:vAlign w:val="center"/>
          </w:tcPr>
          <w:p w14:paraId="78BB6874">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hAnsi="Times New Roman" w:eastAsia="仿宋_GB2312" w:cs="Times New Roman"/>
                <w:color w:val="auto"/>
                <w:sz w:val="24"/>
                <w:szCs w:val="24"/>
                <w:highlight w:val="none"/>
                <w:u w:val="none"/>
                <w:lang w:val="en-US" w:eastAsia="zh-CN"/>
              </w:rPr>
              <w:t>约束</w:t>
            </w:r>
            <w:r>
              <w:rPr>
                <w:rFonts w:hint="default" w:ascii="Times New Roman" w:hAnsi="Times New Roman" w:eastAsia="仿宋_GB2312" w:cs="Times New Roman"/>
                <w:color w:val="auto"/>
                <w:sz w:val="24"/>
                <w:szCs w:val="24"/>
                <w:highlight w:val="none"/>
                <w:u w:val="none"/>
                <w:lang w:val="en-US" w:eastAsia="zh-CN"/>
              </w:rPr>
              <w:t>性</w:t>
            </w:r>
          </w:p>
        </w:tc>
      </w:tr>
      <w:tr w14:paraId="7DC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661BF25F">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sz w:val="24"/>
                <w:szCs w:val="24"/>
                <w:highlight w:val="none"/>
                <w:u w:val="none"/>
                <w:lang w:val="en-US" w:eastAsia="zh-CN"/>
              </w:rPr>
              <w:t>9</w:t>
            </w:r>
          </w:p>
        </w:tc>
        <w:tc>
          <w:tcPr>
            <w:tcW w:w="0" w:type="auto"/>
            <w:vAlign w:val="center"/>
          </w:tcPr>
          <w:p w14:paraId="2E57D39C">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市级以上</w:t>
            </w:r>
            <w:r>
              <w:rPr>
                <w:rFonts w:hint="eastAsia" w:ascii="Times New Roman" w:eastAsia="仿宋_GB2312" w:cs="Times New Roman"/>
                <w:color w:val="auto"/>
                <w:sz w:val="24"/>
                <w:szCs w:val="24"/>
                <w:highlight w:val="none"/>
                <w:u w:val="none"/>
                <w:lang w:val="en-US" w:eastAsia="zh-CN"/>
              </w:rPr>
              <w:t>农业</w:t>
            </w:r>
            <w:r>
              <w:rPr>
                <w:rFonts w:hint="default" w:ascii="Times New Roman" w:hAnsi="Times New Roman" w:eastAsia="仿宋_GB2312" w:cs="Times New Roman"/>
                <w:color w:val="auto"/>
                <w:sz w:val="24"/>
                <w:szCs w:val="24"/>
                <w:highlight w:val="none"/>
                <w:u w:val="none"/>
                <w:lang w:val="en-US" w:eastAsia="zh-CN"/>
              </w:rPr>
              <w:t>龙头企业数量</w:t>
            </w:r>
          </w:p>
        </w:tc>
        <w:tc>
          <w:tcPr>
            <w:tcW w:w="0" w:type="auto"/>
            <w:vAlign w:val="center"/>
          </w:tcPr>
          <w:p w14:paraId="59FEE1D5">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家</w:t>
            </w:r>
          </w:p>
        </w:tc>
        <w:tc>
          <w:tcPr>
            <w:tcW w:w="1289" w:type="dxa"/>
            <w:vAlign w:val="center"/>
          </w:tcPr>
          <w:p w14:paraId="35C2A94A">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72</w:t>
            </w:r>
          </w:p>
        </w:tc>
        <w:tc>
          <w:tcPr>
            <w:tcW w:w="0" w:type="auto"/>
            <w:vAlign w:val="center"/>
          </w:tcPr>
          <w:p w14:paraId="54EAC481">
            <w:pPr>
              <w:suppressLineNumbers w:val="0"/>
              <w:bidi w:val="0"/>
              <w:snapToGrid w:val="0"/>
              <w:spacing w:before="0" w:beforeAutospacing="0" w:after="0" w:afterAutospacing="0" w:line="240" w:lineRule="auto"/>
              <w:ind w:left="0" w:leftChars="0" w:right="0" w:rightChars="0" w:firstLine="0" w:firstLineChars="0"/>
              <w:jc w:val="right"/>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77</w:t>
            </w:r>
          </w:p>
        </w:tc>
        <w:tc>
          <w:tcPr>
            <w:tcW w:w="1132" w:type="dxa"/>
            <w:vAlign w:val="center"/>
          </w:tcPr>
          <w:p w14:paraId="61677AAA">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预期性</w:t>
            </w:r>
          </w:p>
        </w:tc>
      </w:tr>
      <w:tr w14:paraId="09A2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53F7434C">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sz w:val="24"/>
                <w:szCs w:val="24"/>
                <w:highlight w:val="none"/>
                <w:u w:val="none"/>
                <w:lang w:val="en-US" w:eastAsia="zh-CN"/>
              </w:rPr>
              <w:t>10</w:t>
            </w:r>
          </w:p>
        </w:tc>
        <w:tc>
          <w:tcPr>
            <w:tcW w:w="0" w:type="auto"/>
            <w:vAlign w:val="center"/>
          </w:tcPr>
          <w:p w14:paraId="7EDCEB37">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省</w:t>
            </w:r>
            <w:r>
              <w:rPr>
                <w:rFonts w:hint="default" w:ascii="Times New Roman" w:hAnsi="Times New Roman" w:eastAsia="仿宋_GB2312" w:cs="Times New Roman"/>
                <w:color w:val="auto"/>
                <w:sz w:val="24"/>
                <w:szCs w:val="24"/>
                <w:highlight w:val="none"/>
                <w:u w:val="none"/>
                <w:lang w:val="en-US" w:eastAsia="zh-CN"/>
              </w:rPr>
              <w:t>级以上标杆农民专业合作社</w:t>
            </w:r>
          </w:p>
        </w:tc>
        <w:tc>
          <w:tcPr>
            <w:tcW w:w="0" w:type="auto"/>
            <w:vAlign w:val="center"/>
          </w:tcPr>
          <w:p w14:paraId="7D1D73FE">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家</w:t>
            </w:r>
          </w:p>
        </w:tc>
        <w:tc>
          <w:tcPr>
            <w:tcW w:w="1289" w:type="dxa"/>
            <w:vAlign w:val="center"/>
          </w:tcPr>
          <w:p w14:paraId="0F7A887A">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20</w:t>
            </w:r>
          </w:p>
        </w:tc>
        <w:tc>
          <w:tcPr>
            <w:tcW w:w="0" w:type="auto"/>
            <w:vAlign w:val="center"/>
          </w:tcPr>
          <w:p w14:paraId="48AE3952">
            <w:pPr>
              <w:suppressLineNumbers w:val="0"/>
              <w:bidi w:val="0"/>
              <w:snapToGrid w:val="0"/>
              <w:spacing w:before="0" w:beforeAutospacing="0" w:after="0" w:afterAutospacing="0" w:line="240" w:lineRule="auto"/>
              <w:ind w:left="0" w:leftChars="0" w:right="0" w:rightChars="0" w:firstLine="0" w:firstLineChars="0"/>
              <w:jc w:val="right"/>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35</w:t>
            </w:r>
          </w:p>
        </w:tc>
        <w:tc>
          <w:tcPr>
            <w:tcW w:w="1132" w:type="dxa"/>
            <w:vAlign w:val="center"/>
          </w:tcPr>
          <w:p w14:paraId="684C69DC">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预期性</w:t>
            </w:r>
          </w:p>
        </w:tc>
      </w:tr>
      <w:tr w14:paraId="32CE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3A0662DE">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sz w:val="24"/>
                <w:szCs w:val="24"/>
                <w:highlight w:val="none"/>
                <w:u w:val="none"/>
                <w:lang w:val="en-US" w:eastAsia="zh-CN"/>
              </w:rPr>
              <w:t>11</w:t>
            </w:r>
          </w:p>
        </w:tc>
        <w:tc>
          <w:tcPr>
            <w:tcW w:w="0" w:type="auto"/>
            <w:vAlign w:val="center"/>
          </w:tcPr>
          <w:p w14:paraId="6EFEAAC8">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省</w:t>
            </w:r>
            <w:r>
              <w:rPr>
                <w:rFonts w:hint="default" w:ascii="Times New Roman" w:hAnsi="Times New Roman" w:eastAsia="仿宋_GB2312" w:cs="Times New Roman"/>
                <w:color w:val="auto"/>
                <w:sz w:val="24"/>
                <w:szCs w:val="24"/>
                <w:highlight w:val="none"/>
                <w:u w:val="none"/>
                <w:lang w:val="en-US" w:eastAsia="zh-CN"/>
              </w:rPr>
              <w:t>级以上标杆家庭农场</w:t>
            </w:r>
          </w:p>
        </w:tc>
        <w:tc>
          <w:tcPr>
            <w:tcW w:w="0" w:type="auto"/>
            <w:vAlign w:val="center"/>
          </w:tcPr>
          <w:p w14:paraId="5FC21FA8">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个</w:t>
            </w:r>
          </w:p>
        </w:tc>
        <w:tc>
          <w:tcPr>
            <w:tcW w:w="1289" w:type="dxa"/>
            <w:vAlign w:val="center"/>
          </w:tcPr>
          <w:p w14:paraId="7F56E558">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22</w:t>
            </w:r>
          </w:p>
        </w:tc>
        <w:tc>
          <w:tcPr>
            <w:tcW w:w="0" w:type="auto"/>
            <w:vAlign w:val="center"/>
          </w:tcPr>
          <w:p w14:paraId="58217C57">
            <w:pPr>
              <w:suppressLineNumbers w:val="0"/>
              <w:bidi w:val="0"/>
              <w:snapToGrid w:val="0"/>
              <w:spacing w:before="0" w:beforeAutospacing="0" w:after="0" w:afterAutospacing="0" w:line="240" w:lineRule="auto"/>
              <w:ind w:left="0" w:leftChars="0" w:right="0" w:rightChars="0" w:firstLine="0" w:firstLineChars="0"/>
              <w:jc w:val="right"/>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38</w:t>
            </w:r>
          </w:p>
        </w:tc>
        <w:tc>
          <w:tcPr>
            <w:tcW w:w="1132" w:type="dxa"/>
            <w:vAlign w:val="center"/>
          </w:tcPr>
          <w:p w14:paraId="17F2A7A2">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预期性</w:t>
            </w:r>
          </w:p>
        </w:tc>
      </w:tr>
      <w:tr w14:paraId="2709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542D88AA">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sz w:val="24"/>
                <w:szCs w:val="24"/>
                <w:highlight w:val="none"/>
                <w:u w:val="none"/>
                <w:lang w:val="en-US" w:eastAsia="zh-CN"/>
              </w:rPr>
              <w:t>12</w:t>
            </w:r>
          </w:p>
        </w:tc>
        <w:tc>
          <w:tcPr>
            <w:tcW w:w="0" w:type="auto"/>
            <w:shd w:val="clear" w:color="auto" w:fill="auto"/>
            <w:vAlign w:val="center"/>
          </w:tcPr>
          <w:p w14:paraId="6B96D977">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default" w:ascii="Times New Roman" w:hAnsi="Times New Roman" w:eastAsia="仿宋_GB2312" w:cs="Times New Roman"/>
                <w:color w:val="auto"/>
                <w:sz w:val="24"/>
                <w:szCs w:val="24"/>
                <w:highlight w:val="none"/>
                <w:u w:val="none"/>
                <w:lang w:val="en-US" w:eastAsia="zh-CN"/>
              </w:rPr>
              <w:t>畜禽粪污综合利用率</w:t>
            </w:r>
          </w:p>
        </w:tc>
        <w:tc>
          <w:tcPr>
            <w:tcW w:w="0" w:type="auto"/>
            <w:shd w:val="clear" w:color="auto" w:fill="auto"/>
            <w:vAlign w:val="center"/>
          </w:tcPr>
          <w:p w14:paraId="770913FC">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default" w:ascii="Times New Roman" w:hAnsi="Times New Roman" w:eastAsia="仿宋_GB2312" w:cs="Times New Roman"/>
                <w:color w:val="auto"/>
                <w:sz w:val="24"/>
                <w:szCs w:val="24"/>
                <w:highlight w:val="none"/>
                <w:u w:val="none"/>
                <w:lang w:val="en-US" w:eastAsia="zh-CN"/>
              </w:rPr>
              <w:t>%</w:t>
            </w:r>
          </w:p>
        </w:tc>
        <w:tc>
          <w:tcPr>
            <w:tcW w:w="1289" w:type="dxa"/>
            <w:shd w:val="clear" w:color="auto" w:fill="auto"/>
            <w:vAlign w:val="center"/>
          </w:tcPr>
          <w:p w14:paraId="13A34548">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default" w:ascii="Times New Roman" w:hAnsi="Times New Roman" w:eastAsia="仿宋_GB2312" w:cs="Times New Roman"/>
                <w:color w:val="auto"/>
                <w:kern w:val="2"/>
                <w:sz w:val="24"/>
                <w:szCs w:val="24"/>
                <w:highlight w:val="none"/>
                <w:u w:val="none"/>
                <w:lang w:val="en-US" w:eastAsia="zh-CN" w:bidi="ar-SA"/>
              </w:rPr>
              <w:t>83.47</w:t>
            </w:r>
          </w:p>
        </w:tc>
        <w:tc>
          <w:tcPr>
            <w:tcW w:w="0" w:type="auto"/>
            <w:shd w:val="clear" w:color="auto" w:fill="auto"/>
            <w:vAlign w:val="center"/>
          </w:tcPr>
          <w:p w14:paraId="7B016DB6">
            <w:pPr>
              <w:suppressLineNumbers w:val="0"/>
              <w:bidi w:val="0"/>
              <w:snapToGrid w:val="0"/>
              <w:spacing w:before="0" w:beforeAutospacing="0" w:after="0" w:afterAutospacing="0" w:line="240" w:lineRule="auto"/>
              <w:ind w:left="0" w:leftChars="0" w:right="0" w:rightChars="0" w:firstLine="0" w:firstLineChars="0"/>
              <w:jc w:val="right"/>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hAnsi="Times New Roman" w:eastAsia="仿宋_GB2312" w:cs="Times New Roman"/>
                <w:sz w:val="24"/>
                <w:szCs w:val="24"/>
                <w:highlight w:val="none"/>
                <w:u w:val="none"/>
                <w:lang w:val="en-US" w:eastAsia="zh-CN"/>
              </w:rPr>
              <w:t>≥85</w:t>
            </w:r>
          </w:p>
        </w:tc>
        <w:tc>
          <w:tcPr>
            <w:tcW w:w="1132" w:type="dxa"/>
            <w:shd w:val="clear" w:color="auto" w:fill="auto"/>
            <w:vAlign w:val="center"/>
          </w:tcPr>
          <w:p w14:paraId="4FFE267C">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sz w:val="24"/>
                <w:szCs w:val="24"/>
                <w:highlight w:val="none"/>
                <w:u w:val="none"/>
                <w:lang w:val="en-US" w:eastAsia="zh-CN"/>
              </w:rPr>
              <w:t>预期性</w:t>
            </w:r>
          </w:p>
        </w:tc>
      </w:tr>
      <w:tr w14:paraId="2A0A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3F9A6D39">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sz w:val="24"/>
                <w:szCs w:val="24"/>
                <w:highlight w:val="none"/>
                <w:u w:val="none"/>
                <w:lang w:val="en-US" w:eastAsia="zh-CN"/>
              </w:rPr>
              <w:t>13</w:t>
            </w:r>
          </w:p>
        </w:tc>
        <w:tc>
          <w:tcPr>
            <w:tcW w:w="0" w:type="auto"/>
            <w:shd w:val="clear" w:color="auto" w:fill="auto"/>
            <w:vAlign w:val="center"/>
          </w:tcPr>
          <w:p w14:paraId="16AB9FBB">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default" w:ascii="Times New Roman" w:hAnsi="Times New Roman" w:eastAsia="仿宋_GB2312" w:cs="Times New Roman"/>
                <w:color w:val="auto"/>
                <w:sz w:val="24"/>
                <w:szCs w:val="24"/>
                <w:highlight w:val="none"/>
                <w:u w:val="none"/>
                <w:lang w:val="en-US" w:eastAsia="zh-CN"/>
              </w:rPr>
              <w:t>农村生活污水治理</w:t>
            </w:r>
            <w:r>
              <w:rPr>
                <w:rFonts w:hint="eastAsia" w:ascii="Times New Roman" w:hAnsi="Times New Roman" w:eastAsia="仿宋_GB2312" w:cs="Times New Roman"/>
                <w:color w:val="auto"/>
                <w:sz w:val="24"/>
                <w:szCs w:val="24"/>
                <w:highlight w:val="none"/>
                <w:u w:val="none"/>
                <w:lang w:val="en-US" w:eastAsia="zh-CN"/>
              </w:rPr>
              <w:t>（管控）</w:t>
            </w:r>
            <w:r>
              <w:rPr>
                <w:rFonts w:hint="default" w:ascii="Times New Roman" w:hAnsi="Times New Roman" w:eastAsia="仿宋_GB2312" w:cs="Times New Roman"/>
                <w:color w:val="auto"/>
                <w:sz w:val="24"/>
                <w:szCs w:val="24"/>
                <w:highlight w:val="none"/>
                <w:u w:val="none"/>
                <w:lang w:val="en-US" w:eastAsia="zh-CN"/>
              </w:rPr>
              <w:t>率</w:t>
            </w:r>
          </w:p>
        </w:tc>
        <w:tc>
          <w:tcPr>
            <w:tcW w:w="0" w:type="auto"/>
            <w:shd w:val="clear" w:color="auto" w:fill="auto"/>
            <w:vAlign w:val="center"/>
          </w:tcPr>
          <w:p w14:paraId="3ECD6B6A">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default" w:ascii="Times New Roman" w:hAnsi="Times New Roman" w:eastAsia="仿宋_GB2312" w:cs="Times New Roman"/>
                <w:color w:val="auto"/>
                <w:sz w:val="24"/>
                <w:szCs w:val="24"/>
                <w:highlight w:val="none"/>
                <w:u w:val="none"/>
                <w:lang w:val="en-US" w:eastAsia="zh-CN"/>
              </w:rPr>
              <w:t>%</w:t>
            </w:r>
          </w:p>
        </w:tc>
        <w:tc>
          <w:tcPr>
            <w:tcW w:w="1289" w:type="dxa"/>
            <w:shd w:val="clear" w:color="auto" w:fill="auto"/>
            <w:vAlign w:val="center"/>
          </w:tcPr>
          <w:p w14:paraId="3A605257">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kern w:val="2"/>
                <w:sz w:val="24"/>
                <w:szCs w:val="24"/>
                <w:highlight w:val="none"/>
                <w:u w:val="none"/>
                <w:lang w:val="en-US" w:eastAsia="zh-CN" w:bidi="ar-SA"/>
              </w:rPr>
              <w:t>98.90</w:t>
            </w:r>
          </w:p>
        </w:tc>
        <w:tc>
          <w:tcPr>
            <w:tcW w:w="0" w:type="auto"/>
            <w:shd w:val="clear" w:color="auto" w:fill="auto"/>
            <w:vAlign w:val="center"/>
          </w:tcPr>
          <w:p w14:paraId="0365EB02">
            <w:pPr>
              <w:suppressLineNumbers w:val="0"/>
              <w:bidi w:val="0"/>
              <w:snapToGrid w:val="0"/>
              <w:spacing w:before="0" w:beforeAutospacing="0" w:after="0" w:afterAutospacing="0" w:line="240" w:lineRule="auto"/>
              <w:ind w:left="0" w:leftChars="0" w:right="0" w:rightChars="0" w:firstLine="0" w:firstLineChars="0"/>
              <w:jc w:val="right"/>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sz w:val="24"/>
                <w:szCs w:val="24"/>
                <w:highlight w:val="none"/>
                <w:u w:val="none"/>
                <w:lang w:val="en-US" w:eastAsia="zh-CN"/>
              </w:rPr>
              <w:t>100</w:t>
            </w:r>
          </w:p>
        </w:tc>
        <w:tc>
          <w:tcPr>
            <w:tcW w:w="1132" w:type="dxa"/>
            <w:shd w:val="clear" w:color="auto" w:fill="auto"/>
            <w:vAlign w:val="center"/>
          </w:tcPr>
          <w:p w14:paraId="7D46B16E">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default" w:ascii="Times New Roman" w:hAnsi="Times New Roman" w:eastAsia="仿宋_GB2312" w:cs="Times New Roman"/>
                <w:color w:val="auto"/>
                <w:sz w:val="24"/>
                <w:szCs w:val="24"/>
                <w:highlight w:val="none"/>
                <w:u w:val="none"/>
                <w:lang w:val="en-US" w:eastAsia="zh-CN"/>
              </w:rPr>
              <w:t>预期性</w:t>
            </w:r>
          </w:p>
        </w:tc>
      </w:tr>
      <w:tr w14:paraId="6B0E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56249BE3">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sz w:val="24"/>
                <w:szCs w:val="24"/>
                <w:highlight w:val="none"/>
                <w:u w:val="none"/>
                <w:lang w:val="en-US" w:eastAsia="zh-CN"/>
              </w:rPr>
              <w:t>14</w:t>
            </w:r>
          </w:p>
        </w:tc>
        <w:tc>
          <w:tcPr>
            <w:tcW w:w="0" w:type="auto"/>
            <w:shd w:val="clear" w:color="auto" w:fill="auto"/>
            <w:vAlign w:val="center"/>
          </w:tcPr>
          <w:p w14:paraId="1C0BE664">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default" w:ascii="Times New Roman" w:hAnsi="Times New Roman" w:eastAsia="仿宋_GB2312" w:cs="Times New Roman"/>
                <w:color w:val="auto"/>
                <w:sz w:val="24"/>
                <w:szCs w:val="24"/>
                <w:highlight w:val="none"/>
                <w:u w:val="none"/>
                <w:lang w:val="en-US" w:eastAsia="zh-CN"/>
              </w:rPr>
              <w:t>农村卫生户厕普及率</w:t>
            </w:r>
          </w:p>
        </w:tc>
        <w:tc>
          <w:tcPr>
            <w:tcW w:w="0" w:type="auto"/>
            <w:shd w:val="clear" w:color="auto" w:fill="auto"/>
            <w:vAlign w:val="center"/>
          </w:tcPr>
          <w:p w14:paraId="411816A8">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default" w:ascii="Times New Roman" w:hAnsi="Times New Roman" w:eastAsia="仿宋_GB2312" w:cs="Times New Roman"/>
                <w:color w:val="auto"/>
                <w:sz w:val="24"/>
                <w:szCs w:val="24"/>
                <w:highlight w:val="none"/>
                <w:u w:val="none"/>
                <w:lang w:val="en-US" w:eastAsia="zh-CN"/>
              </w:rPr>
              <w:t>%</w:t>
            </w:r>
          </w:p>
        </w:tc>
        <w:tc>
          <w:tcPr>
            <w:tcW w:w="1289" w:type="dxa"/>
            <w:shd w:val="clear" w:color="auto" w:fill="auto"/>
            <w:vAlign w:val="center"/>
          </w:tcPr>
          <w:p w14:paraId="1C035AA2">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kern w:val="2"/>
                <w:sz w:val="24"/>
                <w:szCs w:val="24"/>
                <w:highlight w:val="none"/>
                <w:u w:val="none"/>
                <w:lang w:val="en-US" w:eastAsia="zh-CN" w:bidi="ar-SA"/>
              </w:rPr>
              <w:t>99</w:t>
            </w:r>
          </w:p>
        </w:tc>
        <w:tc>
          <w:tcPr>
            <w:tcW w:w="0" w:type="auto"/>
            <w:shd w:val="clear" w:color="auto" w:fill="auto"/>
            <w:vAlign w:val="center"/>
          </w:tcPr>
          <w:p w14:paraId="3407DB45">
            <w:pPr>
              <w:suppressLineNumbers w:val="0"/>
              <w:bidi w:val="0"/>
              <w:snapToGrid w:val="0"/>
              <w:spacing w:before="0" w:beforeAutospacing="0" w:after="0" w:afterAutospacing="0" w:line="240" w:lineRule="auto"/>
              <w:ind w:left="0" w:leftChars="0" w:right="0" w:rightChars="0" w:firstLine="0" w:firstLineChars="0"/>
              <w:jc w:val="right"/>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hAnsi="Times New Roman" w:eastAsia="仿宋_GB2312" w:cs="Times New Roman"/>
                <w:sz w:val="24"/>
                <w:szCs w:val="24"/>
                <w:highlight w:val="none"/>
                <w:u w:val="none"/>
                <w:lang w:val="en-US" w:eastAsia="zh-CN"/>
              </w:rPr>
              <w:t>≥</w:t>
            </w:r>
            <w:r>
              <w:rPr>
                <w:rFonts w:hint="eastAsia" w:ascii="Times New Roman" w:eastAsia="仿宋_GB2312" w:cs="Times New Roman"/>
                <w:color w:val="auto"/>
                <w:sz w:val="24"/>
                <w:szCs w:val="24"/>
                <w:highlight w:val="none"/>
                <w:u w:val="none"/>
                <w:lang w:val="en-US" w:eastAsia="zh-CN"/>
              </w:rPr>
              <w:t>99</w:t>
            </w:r>
          </w:p>
        </w:tc>
        <w:tc>
          <w:tcPr>
            <w:tcW w:w="1132" w:type="dxa"/>
            <w:shd w:val="clear" w:color="auto" w:fill="auto"/>
            <w:vAlign w:val="center"/>
          </w:tcPr>
          <w:p w14:paraId="38A9EA47">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default" w:ascii="Times New Roman" w:hAnsi="Times New Roman" w:eastAsia="仿宋_GB2312" w:cs="Times New Roman"/>
                <w:color w:val="auto"/>
                <w:sz w:val="24"/>
                <w:szCs w:val="24"/>
                <w:highlight w:val="none"/>
                <w:u w:val="none"/>
                <w:lang w:val="en-US" w:eastAsia="zh-CN"/>
              </w:rPr>
              <w:t>预期性</w:t>
            </w:r>
          </w:p>
        </w:tc>
      </w:tr>
      <w:tr w14:paraId="2A2F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6AF4AAB1">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sz w:val="24"/>
                <w:szCs w:val="24"/>
                <w:highlight w:val="none"/>
                <w:u w:val="none"/>
                <w:lang w:val="en-US" w:eastAsia="zh-CN"/>
              </w:rPr>
              <w:t>15</w:t>
            </w:r>
          </w:p>
        </w:tc>
        <w:tc>
          <w:tcPr>
            <w:tcW w:w="0" w:type="auto"/>
            <w:shd w:val="clear" w:color="auto" w:fill="auto"/>
            <w:vAlign w:val="center"/>
          </w:tcPr>
          <w:p w14:paraId="161B27F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宋体" w:eastAsia="仿宋_GB2312" w:cs="仿宋_GB2312"/>
                <w:color w:val="000000"/>
                <w:kern w:val="0"/>
                <w:sz w:val="24"/>
                <w:szCs w:val="24"/>
                <w:highlight w:val="none"/>
                <w:u w:val="none"/>
                <w:lang w:val="en-US" w:eastAsia="zh-CN" w:bidi="ar"/>
              </w:rPr>
              <w:t>乡镇（街道）区域养老服务</w:t>
            </w:r>
            <w:r>
              <w:rPr>
                <w:rFonts w:hint="eastAsia" w:ascii="Times New Roman" w:hAnsi="宋体" w:eastAsia="仿宋_GB2312" w:cs="仿宋_GB2312"/>
                <w:color w:val="000000"/>
                <w:kern w:val="0"/>
                <w:sz w:val="24"/>
                <w:szCs w:val="24"/>
                <w:highlight w:val="none"/>
                <w:u w:val="none"/>
                <w:lang w:val="en-US" w:eastAsia="zh-CN" w:bidi="ar"/>
              </w:rPr>
              <w:t>中心覆盖率</w:t>
            </w:r>
          </w:p>
        </w:tc>
        <w:tc>
          <w:tcPr>
            <w:tcW w:w="0" w:type="auto"/>
            <w:shd w:val="clear" w:color="auto" w:fill="auto"/>
            <w:vAlign w:val="center"/>
          </w:tcPr>
          <w:p w14:paraId="3FC5C879">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w:t>
            </w:r>
          </w:p>
        </w:tc>
        <w:tc>
          <w:tcPr>
            <w:tcW w:w="1289" w:type="dxa"/>
            <w:shd w:val="clear" w:color="auto" w:fill="auto"/>
            <w:vAlign w:val="center"/>
          </w:tcPr>
          <w:p w14:paraId="666CE62D">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kern w:val="2"/>
                <w:sz w:val="24"/>
                <w:szCs w:val="24"/>
                <w:highlight w:val="none"/>
                <w:u w:val="none"/>
                <w:lang w:val="en-US" w:eastAsia="zh-CN" w:bidi="ar-SA"/>
              </w:rPr>
              <w:t>100</w:t>
            </w:r>
          </w:p>
        </w:tc>
        <w:tc>
          <w:tcPr>
            <w:tcW w:w="0" w:type="auto"/>
            <w:shd w:val="clear" w:color="auto" w:fill="auto"/>
            <w:vAlign w:val="center"/>
          </w:tcPr>
          <w:p w14:paraId="37C3002B">
            <w:pPr>
              <w:suppressLineNumbers w:val="0"/>
              <w:bidi w:val="0"/>
              <w:snapToGrid w:val="0"/>
              <w:spacing w:before="0" w:beforeAutospacing="0" w:after="0" w:afterAutospacing="0" w:line="240" w:lineRule="auto"/>
              <w:ind w:left="0" w:leftChars="0" w:right="0" w:rightChars="0" w:firstLine="0" w:firstLineChars="0"/>
              <w:jc w:val="right"/>
              <w:rPr>
                <w:rFonts w:hint="default" w:ascii="Times New Roman" w:hAnsi="Times New Roman" w:eastAsia="仿宋_GB2312" w:cs="Times New Roman"/>
                <w:sz w:val="24"/>
                <w:szCs w:val="24"/>
                <w:highlight w:val="none"/>
                <w:u w:val="none"/>
                <w:lang w:val="en-US" w:eastAsia="zh-CN"/>
              </w:rPr>
            </w:pPr>
            <w:r>
              <w:rPr>
                <w:rFonts w:hint="eastAsia" w:ascii="Times New Roman" w:hAnsi="Times New Roman" w:eastAsia="仿宋_GB2312" w:cs="Times New Roman"/>
                <w:sz w:val="24"/>
                <w:szCs w:val="24"/>
                <w:highlight w:val="none"/>
                <w:u w:val="none"/>
                <w:lang w:val="en-US" w:eastAsia="zh-CN"/>
              </w:rPr>
              <w:t>100</w:t>
            </w:r>
          </w:p>
        </w:tc>
        <w:tc>
          <w:tcPr>
            <w:tcW w:w="1132" w:type="dxa"/>
            <w:shd w:val="clear" w:color="auto" w:fill="auto"/>
            <w:vAlign w:val="center"/>
          </w:tcPr>
          <w:p w14:paraId="4D7D875D">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hAnsi="Times New Roman" w:eastAsia="仿宋_GB2312" w:cs="Times New Roman"/>
                <w:color w:val="auto"/>
                <w:sz w:val="24"/>
                <w:szCs w:val="24"/>
                <w:highlight w:val="none"/>
                <w:u w:val="none"/>
                <w:lang w:val="en-US" w:eastAsia="zh-CN"/>
              </w:rPr>
              <w:t>预期性</w:t>
            </w:r>
          </w:p>
        </w:tc>
      </w:tr>
      <w:tr w14:paraId="1A04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03DD93EA">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sz w:val="24"/>
                <w:szCs w:val="24"/>
                <w:highlight w:val="none"/>
                <w:u w:val="none"/>
                <w:lang w:val="en-US" w:eastAsia="zh-CN"/>
              </w:rPr>
              <w:t>16</w:t>
            </w:r>
          </w:p>
        </w:tc>
        <w:tc>
          <w:tcPr>
            <w:tcW w:w="0" w:type="auto"/>
            <w:shd w:val="clear" w:color="auto" w:fill="auto"/>
            <w:vAlign w:val="center"/>
          </w:tcPr>
          <w:p w14:paraId="4A705978">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default" w:ascii="Times New Roman" w:hAnsi="Times New Roman" w:eastAsia="仿宋_GB2312" w:cs="Times New Roman"/>
                <w:color w:val="auto"/>
                <w:sz w:val="24"/>
                <w:szCs w:val="24"/>
                <w:highlight w:val="none"/>
                <w:u w:val="none"/>
              </w:rPr>
              <w:t>主要农作物绿色防控覆盖率</w:t>
            </w:r>
          </w:p>
        </w:tc>
        <w:tc>
          <w:tcPr>
            <w:tcW w:w="0" w:type="auto"/>
            <w:shd w:val="clear" w:color="auto" w:fill="auto"/>
            <w:vAlign w:val="center"/>
          </w:tcPr>
          <w:p w14:paraId="130E53D2">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default" w:ascii="Times New Roman" w:hAnsi="Times New Roman" w:eastAsia="仿宋_GB2312" w:cs="Times New Roman"/>
                <w:color w:val="auto"/>
                <w:sz w:val="24"/>
                <w:szCs w:val="24"/>
                <w:highlight w:val="none"/>
                <w:u w:val="none"/>
                <w:lang w:val="en-US" w:eastAsia="zh-CN"/>
              </w:rPr>
              <w:t>%</w:t>
            </w:r>
          </w:p>
        </w:tc>
        <w:tc>
          <w:tcPr>
            <w:tcW w:w="1289" w:type="dxa"/>
            <w:shd w:val="clear" w:color="auto" w:fill="auto"/>
            <w:vAlign w:val="center"/>
          </w:tcPr>
          <w:p w14:paraId="342CC20A">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kern w:val="2"/>
                <w:sz w:val="24"/>
                <w:szCs w:val="24"/>
                <w:highlight w:val="none"/>
                <w:u w:val="none"/>
                <w:lang w:val="en-US" w:eastAsia="zh-CN" w:bidi="ar-SA"/>
              </w:rPr>
              <w:t>58</w:t>
            </w:r>
          </w:p>
        </w:tc>
        <w:tc>
          <w:tcPr>
            <w:tcW w:w="0" w:type="auto"/>
            <w:shd w:val="clear" w:color="auto" w:fill="auto"/>
            <w:vAlign w:val="center"/>
          </w:tcPr>
          <w:p w14:paraId="11A9227A">
            <w:pPr>
              <w:suppressLineNumbers w:val="0"/>
              <w:bidi w:val="0"/>
              <w:snapToGrid w:val="0"/>
              <w:spacing w:before="0" w:beforeAutospacing="0" w:after="0" w:afterAutospacing="0" w:line="240" w:lineRule="auto"/>
              <w:ind w:left="0" w:leftChars="0" w:right="0" w:rightChars="0" w:firstLine="0" w:firstLineChars="0"/>
              <w:jc w:val="right"/>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hAnsi="Times New Roman" w:eastAsia="仿宋_GB2312" w:cs="Times New Roman"/>
                <w:sz w:val="24"/>
                <w:szCs w:val="24"/>
                <w:highlight w:val="none"/>
                <w:u w:val="none"/>
                <w:lang w:val="en-US" w:eastAsia="zh-CN"/>
              </w:rPr>
              <w:t>≥60</w:t>
            </w:r>
          </w:p>
        </w:tc>
        <w:tc>
          <w:tcPr>
            <w:tcW w:w="1132" w:type="dxa"/>
            <w:shd w:val="clear" w:color="auto" w:fill="auto"/>
            <w:vAlign w:val="center"/>
          </w:tcPr>
          <w:p w14:paraId="4400CF7F">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default" w:ascii="Times New Roman" w:hAnsi="Times New Roman" w:eastAsia="仿宋_GB2312" w:cs="Times New Roman"/>
                <w:color w:val="auto"/>
                <w:sz w:val="24"/>
                <w:szCs w:val="24"/>
                <w:highlight w:val="none"/>
                <w:u w:val="none"/>
                <w:lang w:val="en-US" w:eastAsia="zh-CN"/>
              </w:rPr>
              <w:t>预期性</w:t>
            </w:r>
          </w:p>
        </w:tc>
      </w:tr>
      <w:tr w14:paraId="3050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auto"/>
            <w:vAlign w:val="center"/>
          </w:tcPr>
          <w:p w14:paraId="019713D0">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sz w:val="24"/>
                <w:szCs w:val="24"/>
                <w:highlight w:val="none"/>
                <w:u w:val="none"/>
                <w:lang w:val="en-US" w:eastAsia="zh-CN"/>
              </w:rPr>
              <w:t>17</w:t>
            </w:r>
          </w:p>
        </w:tc>
        <w:tc>
          <w:tcPr>
            <w:tcW w:w="0" w:type="auto"/>
            <w:vAlign w:val="center"/>
          </w:tcPr>
          <w:p w14:paraId="72240760">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农村居民人均可支配收入</w:t>
            </w:r>
          </w:p>
        </w:tc>
        <w:tc>
          <w:tcPr>
            <w:tcW w:w="0" w:type="auto"/>
            <w:vAlign w:val="center"/>
          </w:tcPr>
          <w:p w14:paraId="4D8F49EE">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万元</w:t>
            </w:r>
          </w:p>
        </w:tc>
        <w:tc>
          <w:tcPr>
            <w:tcW w:w="1289" w:type="dxa"/>
            <w:vAlign w:val="center"/>
          </w:tcPr>
          <w:p w14:paraId="5C8936D2">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2.54</w:t>
            </w:r>
          </w:p>
        </w:tc>
        <w:tc>
          <w:tcPr>
            <w:tcW w:w="0" w:type="auto"/>
            <w:vAlign w:val="center"/>
          </w:tcPr>
          <w:p w14:paraId="3142AAB5">
            <w:pPr>
              <w:suppressLineNumbers w:val="0"/>
              <w:bidi w:val="0"/>
              <w:snapToGrid w:val="0"/>
              <w:spacing w:before="0" w:beforeAutospacing="0" w:after="0" w:afterAutospacing="0" w:line="240" w:lineRule="auto"/>
              <w:ind w:left="0" w:leftChars="0" w:right="0" w:rightChars="0" w:firstLine="0" w:firstLineChars="0"/>
              <w:jc w:val="right"/>
              <w:rPr>
                <w:rFonts w:hint="default" w:ascii="Times New Roman" w:hAnsi="Times New Roman" w:eastAsia="仿宋_GB2312" w:cs="Times New Roman"/>
                <w:color w:val="auto"/>
                <w:sz w:val="24"/>
                <w:szCs w:val="24"/>
                <w:highlight w:val="none"/>
                <w:u w:val="none"/>
                <w:lang w:val="en-US" w:eastAsia="zh-CN"/>
              </w:rPr>
            </w:pPr>
            <w:r>
              <w:rPr>
                <w:rFonts w:hint="eastAsia" w:ascii="Times New Roman" w:hAnsi="Times New Roman" w:eastAsia="仿宋_GB2312" w:cs="Times New Roman"/>
                <w:sz w:val="24"/>
                <w:szCs w:val="24"/>
                <w:highlight w:val="none"/>
                <w:u w:val="none"/>
                <w:lang w:val="en-US" w:eastAsia="zh-CN"/>
              </w:rPr>
              <w:t>3.</w:t>
            </w:r>
            <w:r>
              <w:rPr>
                <w:rFonts w:hint="eastAsia" w:ascii="Times New Roman" w:eastAsia="仿宋_GB2312" w:cs="Times New Roman"/>
                <w:sz w:val="24"/>
                <w:szCs w:val="24"/>
                <w:highlight w:val="none"/>
                <w:u w:val="none"/>
                <w:lang w:val="en-US" w:eastAsia="zh-CN"/>
              </w:rPr>
              <w:t>80</w:t>
            </w:r>
          </w:p>
        </w:tc>
        <w:tc>
          <w:tcPr>
            <w:tcW w:w="1132" w:type="dxa"/>
            <w:vAlign w:val="center"/>
          </w:tcPr>
          <w:p w14:paraId="38D6BC6D">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预期</w:t>
            </w:r>
            <w:r>
              <w:rPr>
                <w:rFonts w:hint="default" w:ascii="Times New Roman" w:hAnsi="Times New Roman" w:eastAsia="仿宋_GB2312" w:cs="Times New Roman"/>
                <w:color w:val="auto"/>
                <w:sz w:val="24"/>
                <w:szCs w:val="24"/>
                <w:highlight w:val="none"/>
                <w:u w:val="none"/>
                <w:lang w:val="en-US" w:eastAsia="zh-CN"/>
              </w:rPr>
              <w:t>性</w:t>
            </w:r>
          </w:p>
        </w:tc>
      </w:tr>
      <w:tr w14:paraId="54416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8" w:type="dxa"/>
            <w:shd w:val="clear" w:color="auto" w:fill="auto"/>
            <w:vAlign w:val="center"/>
          </w:tcPr>
          <w:p w14:paraId="554D3E2B">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kern w:val="2"/>
                <w:sz w:val="24"/>
                <w:szCs w:val="24"/>
                <w:highlight w:val="none"/>
                <w:u w:val="none"/>
                <w:lang w:val="en-US" w:eastAsia="zh-CN" w:bidi="ar-SA"/>
              </w:rPr>
            </w:pPr>
            <w:r>
              <w:rPr>
                <w:rFonts w:hint="eastAsia" w:ascii="Times New Roman" w:eastAsia="仿宋_GB2312" w:cs="Times New Roman"/>
                <w:color w:val="auto"/>
                <w:sz w:val="24"/>
                <w:szCs w:val="24"/>
                <w:highlight w:val="none"/>
                <w:u w:val="none"/>
                <w:lang w:val="en-US" w:eastAsia="zh-CN"/>
              </w:rPr>
              <w:t>18</w:t>
            </w:r>
          </w:p>
        </w:tc>
        <w:tc>
          <w:tcPr>
            <w:tcW w:w="3172" w:type="dxa"/>
            <w:vAlign w:val="center"/>
          </w:tcPr>
          <w:p w14:paraId="25E23365">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城乡居民人均可支配收入之比</w:t>
            </w:r>
          </w:p>
        </w:tc>
        <w:tc>
          <w:tcPr>
            <w:tcW w:w="620" w:type="dxa"/>
            <w:vAlign w:val="center"/>
          </w:tcPr>
          <w:p w14:paraId="740994DF">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w:t>
            </w:r>
          </w:p>
        </w:tc>
        <w:tc>
          <w:tcPr>
            <w:tcW w:w="1289" w:type="dxa"/>
            <w:vAlign w:val="center"/>
          </w:tcPr>
          <w:p w14:paraId="6898FB15">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1.49</w:t>
            </w:r>
          </w:p>
        </w:tc>
        <w:tc>
          <w:tcPr>
            <w:tcW w:w="1691" w:type="dxa"/>
            <w:vAlign w:val="center"/>
          </w:tcPr>
          <w:p w14:paraId="1F5CA9F3">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right"/>
              <w:textAlignment w:val="auto"/>
              <w:rPr>
                <w:rFonts w:hint="default" w:ascii="Times New Roman" w:hAnsi="Times New Roman" w:eastAsia="仿宋_GB2312" w:cs="Times New Roman"/>
                <w:color w:val="auto"/>
                <w:sz w:val="24"/>
                <w:szCs w:val="24"/>
                <w:highlight w:val="none"/>
                <w:u w:val="none"/>
                <w:lang w:val="en-US" w:eastAsia="zh-CN"/>
              </w:rPr>
            </w:pPr>
            <w:r>
              <w:rPr>
                <w:rFonts w:hint="eastAsia" w:ascii="Times New Roman" w:eastAsia="仿宋_GB2312" w:cs="Times New Roman"/>
                <w:color w:val="auto"/>
                <w:sz w:val="24"/>
                <w:szCs w:val="24"/>
                <w:highlight w:val="none"/>
                <w:u w:val="none"/>
                <w:lang w:val="en-US" w:eastAsia="zh-CN"/>
              </w:rPr>
              <w:t>1.30</w:t>
            </w:r>
          </w:p>
        </w:tc>
        <w:tc>
          <w:tcPr>
            <w:tcW w:w="1132" w:type="dxa"/>
            <w:vAlign w:val="center"/>
          </w:tcPr>
          <w:p w14:paraId="3099C9D9">
            <w:pPr>
              <w:keepNext w:val="0"/>
              <w:keepLines w:val="0"/>
              <w:pageBreakBefore w:val="0"/>
              <w:widowControl w:val="0"/>
              <w:suppressLineNumbers w:val="0"/>
              <w:kinsoku w:val="0"/>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仿宋_GB2312" w:cs="Times New Roman"/>
                <w:color w:val="auto"/>
                <w:sz w:val="24"/>
                <w:szCs w:val="24"/>
                <w:highlight w:val="none"/>
                <w:u w:val="none"/>
                <w:lang w:val="en-US" w:eastAsia="zh-CN"/>
              </w:rPr>
            </w:pPr>
            <w:r>
              <w:rPr>
                <w:rFonts w:hint="default" w:ascii="Times New Roman" w:hAnsi="Times New Roman" w:eastAsia="仿宋_GB2312" w:cs="Times New Roman"/>
                <w:color w:val="auto"/>
                <w:sz w:val="24"/>
                <w:szCs w:val="24"/>
                <w:highlight w:val="none"/>
                <w:u w:val="none"/>
                <w:lang w:val="en-US" w:eastAsia="zh-CN"/>
              </w:rPr>
              <w:t>预期性</w:t>
            </w:r>
          </w:p>
        </w:tc>
      </w:tr>
    </w:tbl>
    <w:p w14:paraId="35010644">
      <w:pPr>
        <w:pStyle w:val="19"/>
        <w:keepNext/>
        <w:keepLines/>
        <w:pageBreakBefore w:val="0"/>
        <w:widowControl w:val="0"/>
        <w:kinsoku/>
        <w:wordWrap/>
        <w:overflowPunct/>
        <w:topLinePunct w:val="0"/>
        <w:autoSpaceDE/>
        <w:autoSpaceDN/>
        <w:bidi w:val="0"/>
        <w:adjustRightInd/>
        <w:snapToGrid/>
        <w:ind w:left="0" w:leftChars="0" w:firstLine="0" w:firstLineChars="0"/>
        <w:textAlignment w:val="auto"/>
        <w:outlineLvl w:val="0"/>
        <w:rPr>
          <w:rFonts w:hint="eastAsia" w:ascii="黑体" w:hAnsi="黑体" w:eastAsia="黑体" w:cs="黑体"/>
          <w:highlight w:val="none"/>
          <w:u w:val="none"/>
          <w:lang w:val="en-US" w:eastAsia="zh-CN"/>
        </w:rPr>
      </w:pPr>
      <w:bookmarkStart w:id="9" w:name="_Toc11347"/>
      <w:bookmarkStart w:id="10" w:name="_Toc28282"/>
      <w:bookmarkStart w:id="11" w:name="_Toc31827"/>
      <w:bookmarkStart w:id="12" w:name="_Toc32688"/>
      <w:bookmarkStart w:id="13" w:name="_Toc662"/>
      <w:r>
        <w:rPr>
          <w:rFonts w:hint="eastAsia" w:ascii="黑体" w:hAnsi="黑体" w:eastAsia="黑体" w:cs="黑体"/>
          <w:highlight w:val="none"/>
          <w:u w:val="none"/>
          <w:lang w:val="en-US" w:eastAsia="zh-CN"/>
        </w:rPr>
        <w:t>二、提升农业综合生产能力和质量效益，夯实农产品稳产保供根基</w:t>
      </w:r>
      <w:bookmarkEnd w:id="9"/>
      <w:bookmarkEnd w:id="10"/>
      <w:bookmarkEnd w:id="11"/>
      <w:bookmarkEnd w:id="12"/>
      <w:bookmarkEnd w:id="13"/>
    </w:p>
    <w:p w14:paraId="4F1E4D44">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highlight w:val="none"/>
          <w:u w:val="none"/>
          <w:lang w:val="en-US" w:eastAsia="zh-CN"/>
        </w:rPr>
      </w:pPr>
      <w:bookmarkStart w:id="14" w:name="_Toc26394"/>
      <w:bookmarkStart w:id="15" w:name="_Toc12180"/>
      <w:bookmarkStart w:id="16" w:name="_Toc15003"/>
      <w:bookmarkStart w:id="17" w:name="_Toc21702"/>
      <w:bookmarkStart w:id="18" w:name="_Toc6574"/>
      <w:r>
        <w:rPr>
          <w:rFonts w:hint="eastAsia" w:ascii="方正楷体_GB2312" w:hAnsi="方正楷体_GB2312" w:eastAsia="方正楷体_GB2312" w:cs="方正楷体_GB2312"/>
          <w:b w:val="0"/>
          <w:bCs w:val="0"/>
          <w:color w:val="auto"/>
          <w:highlight w:val="none"/>
          <w:u w:val="none"/>
          <w:lang w:val="en-US" w:eastAsia="zh-CN"/>
        </w:rPr>
        <w:t>增强粮食和重要农产品供给保障能力</w:t>
      </w:r>
      <w:bookmarkEnd w:id="14"/>
      <w:bookmarkEnd w:id="15"/>
      <w:bookmarkEnd w:id="16"/>
      <w:bookmarkEnd w:id="17"/>
      <w:bookmarkEnd w:id="18"/>
    </w:p>
    <w:p w14:paraId="39BABFD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b w:val="0"/>
          <w:bCs w:val="0"/>
          <w:color w:val="auto"/>
          <w:highlight w:val="none"/>
          <w:u w:val="none"/>
          <w:lang w:val="en-US" w:eastAsia="zh-CN"/>
        </w:rPr>
        <w:t>推进粮油等主要作物大面积单产提升，聚焦水稻、甘薯、大豆、油菜等作物，</w:t>
      </w:r>
      <w:r>
        <w:rPr>
          <w:rFonts w:hint="eastAsia" w:ascii="仿宋_GB2312" w:hAnsi="仿宋_GB2312" w:eastAsia="仿宋_GB2312" w:cs="仿宋_GB2312"/>
          <w:color w:val="auto"/>
          <w:highlight w:val="none"/>
          <w:u w:val="none"/>
        </w:rPr>
        <w:t>推进良田良种良机良法集成增效，</w:t>
      </w:r>
      <w:r>
        <w:rPr>
          <w:rFonts w:hint="eastAsia" w:ascii="仿宋_GB2312" w:hAnsi="仿宋_GB2312" w:eastAsia="仿宋_GB2312" w:cs="仿宋_GB2312"/>
          <w:color w:val="auto"/>
          <w:highlight w:val="none"/>
          <w:u w:val="none"/>
          <w:lang w:val="en-US" w:eastAsia="zh-CN"/>
        </w:rPr>
        <w:t>推广高产稳产、多抗广适的水稻、大豆、甘薯品种和高产双低短生育期油菜品种，</w:t>
      </w:r>
      <w:r>
        <w:rPr>
          <w:rFonts w:hint="eastAsia" w:ascii="仿宋_GB2312" w:hAnsi="仿宋_GB2312" w:eastAsia="仿宋_GB2312" w:cs="仿宋_GB2312"/>
          <w:color w:val="auto"/>
          <w:highlight w:val="none"/>
          <w:u w:val="none"/>
        </w:rPr>
        <w:t>推广</w:t>
      </w:r>
      <w:r>
        <w:rPr>
          <w:rFonts w:hint="eastAsia" w:ascii="仿宋_GB2312" w:hAnsi="仿宋_GB2312" w:eastAsia="仿宋_GB2312" w:cs="仿宋_GB2312"/>
          <w:color w:val="auto"/>
          <w:highlight w:val="none"/>
          <w:u w:val="none"/>
          <w:lang w:val="en-US" w:eastAsia="zh-CN"/>
        </w:rPr>
        <w:t>合理密植、一喷多促等关键技术和</w:t>
      </w:r>
      <w:r>
        <w:rPr>
          <w:rFonts w:hint="eastAsia" w:ascii="仿宋_GB2312" w:hAnsi="仿宋_GB2312" w:eastAsia="仿宋_GB2312" w:cs="仿宋_GB2312"/>
          <w:color w:val="auto"/>
          <w:highlight w:val="none"/>
          <w:u w:val="none"/>
        </w:rPr>
        <w:t>“稻稻菜”“稻稻油”轮作模式</w:t>
      </w:r>
      <w:r>
        <w:rPr>
          <w:rFonts w:hint="eastAsia" w:ascii="仿宋_GB2312" w:hAnsi="仿宋_GB2312" w:eastAsia="仿宋_GB2312" w:cs="仿宋_GB2312"/>
          <w:color w:val="auto"/>
          <w:highlight w:val="none"/>
          <w:u w:val="none"/>
          <w:lang w:val="en-US" w:eastAsia="zh-CN"/>
        </w:rPr>
        <w:t>，提升粮油产量产能。</w:t>
      </w:r>
      <w:r>
        <w:rPr>
          <w:rFonts w:hint="eastAsia" w:ascii="仿宋_GB2312" w:hAnsi="仿宋_GB2312" w:eastAsia="仿宋_GB2312" w:cs="仿宋_GB2312"/>
          <w:color w:val="auto"/>
          <w:highlight w:val="none"/>
          <w:u w:val="none"/>
        </w:rPr>
        <w:t>健全价格、补贴、保险</w:t>
      </w:r>
      <w:r>
        <w:rPr>
          <w:rFonts w:hint="eastAsia" w:ascii="仿宋_GB2312" w:hAnsi="仿宋_GB2312" w:eastAsia="仿宋_GB2312" w:cs="仿宋_GB2312"/>
          <w:color w:val="auto"/>
          <w:highlight w:val="none"/>
          <w:u w:val="none"/>
          <w:lang w:eastAsia="zh-CN"/>
        </w:rPr>
        <w:t>“</w:t>
      </w:r>
      <w:r>
        <w:rPr>
          <w:rFonts w:hint="eastAsia" w:ascii="仿宋_GB2312" w:hAnsi="仿宋_GB2312" w:eastAsia="仿宋_GB2312" w:cs="仿宋_GB2312"/>
          <w:color w:val="auto"/>
          <w:highlight w:val="none"/>
          <w:u w:val="none"/>
        </w:rPr>
        <w:t>三</w:t>
      </w:r>
      <w:r>
        <w:rPr>
          <w:rFonts w:hint="eastAsia" w:ascii="仿宋_GB2312" w:hAnsi="仿宋_GB2312" w:eastAsia="仿宋_GB2312" w:cs="仿宋_GB2312"/>
          <w:color w:val="auto"/>
          <w:highlight w:val="none"/>
          <w:u w:val="none"/>
          <w:lang w:val="en-US" w:eastAsia="zh-CN"/>
        </w:rPr>
        <w:t>位一体”的</w:t>
      </w:r>
      <w:r>
        <w:rPr>
          <w:rFonts w:hint="eastAsia" w:ascii="仿宋_GB2312" w:hAnsi="仿宋_GB2312" w:eastAsia="仿宋_GB2312" w:cs="仿宋_GB2312"/>
          <w:color w:val="auto"/>
          <w:highlight w:val="none"/>
          <w:u w:val="none"/>
        </w:rPr>
        <w:t>粮食生产者收益保障机制。适度扩大西牛麻竹笋、桑芽菜</w:t>
      </w:r>
      <w:r>
        <w:rPr>
          <w:rFonts w:hint="eastAsia" w:ascii="仿宋_GB2312" w:hAnsi="仿宋_GB2312" w:eastAsia="仿宋_GB2312" w:cs="仿宋_GB2312"/>
          <w:color w:val="auto"/>
          <w:highlight w:val="none"/>
          <w:u w:val="none"/>
          <w:lang w:eastAsia="zh-CN"/>
        </w:rPr>
        <w:t>、</w:t>
      </w:r>
      <w:r>
        <w:rPr>
          <w:rFonts w:hint="eastAsia" w:ascii="仿宋_GB2312" w:hAnsi="仿宋_GB2312" w:eastAsia="仿宋_GB2312" w:cs="仿宋_GB2312"/>
          <w:color w:val="auto"/>
          <w:highlight w:val="none"/>
          <w:u w:val="none"/>
        </w:rPr>
        <w:t>沃柑、鹰嘴桃等</w:t>
      </w:r>
      <w:r>
        <w:rPr>
          <w:rFonts w:hint="eastAsia" w:ascii="仿宋_GB2312" w:hAnsi="仿宋_GB2312" w:eastAsia="仿宋_GB2312" w:cs="仿宋_GB2312"/>
          <w:color w:val="auto"/>
          <w:highlight w:val="none"/>
          <w:u w:val="none"/>
          <w:lang w:val="en-US" w:eastAsia="zh-CN"/>
        </w:rPr>
        <w:t>蔬果</w:t>
      </w:r>
      <w:r>
        <w:rPr>
          <w:rFonts w:hint="eastAsia" w:ascii="仿宋_GB2312" w:hAnsi="仿宋_GB2312" w:eastAsia="仿宋_GB2312" w:cs="仿宋_GB2312"/>
          <w:color w:val="auto"/>
          <w:highlight w:val="none"/>
          <w:u w:val="none"/>
        </w:rPr>
        <w:t>种植规模，推动冻品蔬菜产业发展</w:t>
      </w:r>
      <w:r>
        <w:rPr>
          <w:rFonts w:hint="eastAsia" w:ascii="仿宋_GB2312" w:hAnsi="仿宋_GB2312" w:eastAsia="仿宋_GB2312" w:cs="仿宋_GB2312"/>
          <w:color w:val="auto"/>
          <w:highlight w:val="none"/>
          <w:u w:val="none"/>
          <w:lang w:eastAsia="zh-CN"/>
        </w:rPr>
        <w:t>。</w:t>
      </w:r>
      <w:r>
        <w:rPr>
          <w:rFonts w:hint="eastAsia" w:ascii="仿宋_GB2312" w:hAnsi="仿宋_GB2312" w:eastAsia="仿宋_GB2312" w:cs="仿宋_GB2312"/>
          <w:color w:val="auto"/>
          <w:highlight w:val="none"/>
          <w:u w:val="none"/>
        </w:rPr>
        <w:t>巩固生猪生产产能，重点发展清远鸡、肉鸽、肉牛产业，加大鳜鱼（桂花鱼）、黄颡鱼等水产品养殖规模</w:t>
      </w:r>
      <w:r>
        <w:rPr>
          <w:rFonts w:hint="eastAsia" w:ascii="仿宋_GB2312" w:hAnsi="仿宋_GB2312" w:eastAsia="仿宋_GB2312" w:cs="仿宋_GB2312"/>
          <w:color w:val="auto"/>
          <w:highlight w:val="none"/>
          <w:u w:val="none"/>
          <w:lang w:eastAsia="zh-CN"/>
        </w:rPr>
        <w:t>。</w:t>
      </w:r>
    </w:p>
    <w:p w14:paraId="0A18FF77">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highlight w:val="none"/>
          <w:u w:val="none"/>
          <w:lang w:val="en-US" w:eastAsia="zh-CN"/>
        </w:rPr>
      </w:pPr>
      <w:bookmarkStart w:id="19" w:name="_Toc5224"/>
      <w:bookmarkStart w:id="20" w:name="_Toc22316"/>
      <w:bookmarkStart w:id="21" w:name="_Toc2114"/>
      <w:bookmarkStart w:id="22" w:name="_Toc18149"/>
      <w:bookmarkStart w:id="23" w:name="_Toc15247"/>
      <w:r>
        <w:rPr>
          <w:rFonts w:hint="eastAsia" w:ascii="方正楷体_GB2312" w:hAnsi="方正楷体_GB2312" w:eastAsia="方正楷体_GB2312" w:cs="方正楷体_GB2312"/>
          <w:b w:val="0"/>
          <w:bCs w:val="0"/>
          <w:color w:val="auto"/>
          <w:highlight w:val="none"/>
          <w:u w:val="none"/>
          <w:lang w:val="en-US" w:eastAsia="zh-CN"/>
        </w:rPr>
        <w:t>构建多元化食物供给体系</w:t>
      </w:r>
      <w:bookmarkEnd w:id="19"/>
      <w:bookmarkEnd w:id="20"/>
      <w:bookmarkEnd w:id="21"/>
      <w:bookmarkEnd w:id="22"/>
      <w:bookmarkEnd w:id="23"/>
    </w:p>
    <w:p w14:paraId="3C2FF0B4">
      <w:pPr>
        <w:keepNext w:val="0"/>
        <w:keepLines w:val="0"/>
        <w:numPr>
          <w:ilvl w:val="0"/>
          <w:numId w:val="0"/>
        </w:numPr>
        <w:tabs>
          <w:tab w:val="left" w:pos="0"/>
        </w:tabs>
        <w:spacing w:line="600" w:lineRule="exact"/>
        <w:ind w:firstLine="640" w:firstLineChars="200"/>
        <w:outlineLvl w:val="9"/>
        <w:rPr>
          <w:rFonts w:hint="eastAsia" w:ascii="仿宋_GB2312" w:hAnsi="仿宋_GB2312" w:eastAsia="仿宋_GB2312" w:cs="仿宋_GB2312"/>
          <w:kern w:val="2"/>
          <w:sz w:val="32"/>
          <w:szCs w:val="24"/>
          <w:highlight w:val="none"/>
          <w:u w:val="none"/>
          <w:lang w:val="en-US" w:eastAsia="zh-CN" w:bidi="ar-SA"/>
        </w:rPr>
      </w:pPr>
      <w:r>
        <w:rPr>
          <w:rFonts w:hint="eastAsia" w:ascii="仿宋_GB2312" w:hAnsi="仿宋_GB2312" w:eastAsia="仿宋_GB2312" w:cs="仿宋_GB2312"/>
          <w:b w:val="0"/>
          <w:bCs w:val="0"/>
          <w:kern w:val="2"/>
          <w:sz w:val="32"/>
          <w:szCs w:val="24"/>
          <w:highlight w:val="none"/>
          <w:u w:val="none"/>
          <w:lang w:val="en-US" w:eastAsia="zh-CN" w:bidi="ar-SA"/>
        </w:rPr>
        <w:t>发展现代设施农业，</w:t>
      </w:r>
      <w:r>
        <w:rPr>
          <w:rFonts w:hint="eastAsia" w:ascii="仿宋_GB2312" w:hAnsi="仿宋_GB2312" w:eastAsia="仿宋_GB2312" w:cs="仿宋_GB2312"/>
          <w:kern w:val="2"/>
          <w:sz w:val="32"/>
          <w:szCs w:val="24"/>
          <w:highlight w:val="none"/>
          <w:u w:val="none"/>
          <w:lang w:val="en-US" w:eastAsia="zh-CN" w:bidi="ar-SA"/>
        </w:rPr>
        <w:t>推进老旧蔬菜设施、水果大棚改造提升，加快推动畜禽规模化、渔业集约化养殖场设施设备改造升级，进一步提高设施生产占比。</w:t>
      </w:r>
      <w:r>
        <w:rPr>
          <w:rFonts w:hint="eastAsia" w:ascii="仿宋_GB2312" w:hAnsi="仿宋_GB2312" w:eastAsia="仿宋_GB2312" w:cs="仿宋_GB2312"/>
          <w:b w:val="0"/>
          <w:bCs w:val="0"/>
          <w:kern w:val="2"/>
          <w:sz w:val="32"/>
          <w:szCs w:val="24"/>
          <w:highlight w:val="none"/>
          <w:u w:val="none"/>
          <w:lang w:val="en-US" w:eastAsia="zh-CN" w:bidi="ar-SA"/>
        </w:rPr>
        <w:t>推动发展林下经济，</w:t>
      </w:r>
      <w:r>
        <w:rPr>
          <w:rFonts w:hint="eastAsia" w:ascii="仿宋_GB2312" w:hAnsi="仿宋_GB2312" w:eastAsia="仿宋_GB2312" w:cs="仿宋_GB2312"/>
          <w:kern w:val="2"/>
          <w:sz w:val="32"/>
          <w:szCs w:val="24"/>
          <w:highlight w:val="none"/>
          <w:u w:val="none"/>
          <w:lang w:val="en-US" w:eastAsia="zh-CN" w:bidi="ar-SA"/>
        </w:rPr>
        <w:t>适度扩大林药、林菌、林茶、林禽等林下种养规模，构建竹资源“收储—粗加工—精深加工”全产业链。</w:t>
      </w:r>
      <w:r>
        <w:rPr>
          <w:rFonts w:hint="eastAsia" w:ascii="仿宋_GB2312" w:hAnsi="仿宋_GB2312" w:eastAsia="仿宋_GB2312" w:cs="仿宋_GB2312"/>
          <w:b w:val="0"/>
          <w:bCs w:val="0"/>
          <w:kern w:val="2"/>
          <w:sz w:val="32"/>
          <w:szCs w:val="24"/>
          <w:highlight w:val="none"/>
          <w:u w:val="none"/>
          <w:lang w:val="en-US" w:eastAsia="zh-CN" w:bidi="ar-SA"/>
        </w:rPr>
        <w:t>发展壮大食用菌产业，</w:t>
      </w:r>
      <w:r>
        <w:rPr>
          <w:rFonts w:hint="eastAsia" w:ascii="仿宋_GB2312" w:hAnsi="仿宋_GB2312" w:eastAsia="仿宋_GB2312" w:cs="仿宋_GB2312"/>
          <w:kern w:val="2"/>
          <w:sz w:val="32"/>
          <w:szCs w:val="24"/>
          <w:highlight w:val="none"/>
          <w:u w:val="none"/>
          <w:lang w:val="en-US" w:eastAsia="zh-CN" w:bidi="ar-SA"/>
        </w:rPr>
        <w:t>开发即食食品、保健食品等高附加值产品。</w:t>
      </w:r>
    </w:p>
    <w:p w14:paraId="44C9FB88">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highlight w:val="none"/>
          <w:u w:val="none"/>
          <w:lang w:val="en-US" w:eastAsia="zh-CN"/>
        </w:rPr>
      </w:pPr>
      <w:bookmarkStart w:id="24" w:name="_Toc6501"/>
      <w:bookmarkStart w:id="25" w:name="_Toc24329"/>
      <w:bookmarkStart w:id="26" w:name="_Toc24911"/>
      <w:bookmarkStart w:id="27" w:name="_Toc8064"/>
      <w:bookmarkStart w:id="28" w:name="_Toc14053"/>
      <w:r>
        <w:rPr>
          <w:rFonts w:hint="eastAsia" w:ascii="方正楷体_GB2312" w:hAnsi="方正楷体_GB2312" w:eastAsia="方正楷体_GB2312" w:cs="方正楷体_GB2312"/>
          <w:b w:val="0"/>
          <w:bCs w:val="0"/>
          <w:color w:val="auto"/>
          <w:highlight w:val="none"/>
          <w:u w:val="none"/>
          <w:lang w:val="en-US" w:eastAsia="zh-CN"/>
        </w:rPr>
        <w:t>强化耕地保护和质量提升</w:t>
      </w:r>
      <w:bookmarkEnd w:id="24"/>
      <w:bookmarkEnd w:id="25"/>
      <w:bookmarkEnd w:id="26"/>
      <w:bookmarkEnd w:id="27"/>
      <w:bookmarkEnd w:id="28"/>
    </w:p>
    <w:p w14:paraId="3F814CD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highlight w:val="none"/>
          <w:u w:val="none"/>
          <w:lang w:val="en-US" w:eastAsia="zh-CN"/>
        </w:rPr>
      </w:pPr>
      <w:r>
        <w:rPr>
          <w:rFonts w:hint="eastAsia" w:ascii="仿宋_GB2312" w:hAnsi="仿宋_GB2312" w:eastAsia="仿宋_GB2312" w:cs="仿宋_GB2312"/>
          <w:highlight w:val="none"/>
          <w:u w:val="none"/>
          <w:lang w:val="en-US" w:eastAsia="zh-CN"/>
        </w:rPr>
        <w:t>全面落实耕地保护党政同责，严格耕地占补平衡管理，强化耕地动态监测与常态化巡查，带位置、带面积落实83.99万亩耕地保有量和78.11万亩永久基本农田保护任务。扎实开展高标准农田新建、改造和管护，协同推进灌区续建配套节水改造与高标准农田建设。实施紫云英等绿肥种植、精准科学施肥、有机肥替代化肥等技术，推进撂荒耕地复耕复种，提升土壤有机质含量和耕地综合生产能力。</w:t>
      </w:r>
    </w:p>
    <w:p w14:paraId="3970BFFB">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highlight w:val="none"/>
          <w:u w:val="none"/>
          <w:lang w:val="en-US" w:eastAsia="zh-CN"/>
        </w:rPr>
      </w:pPr>
      <w:bookmarkStart w:id="29" w:name="_Toc14718"/>
      <w:bookmarkStart w:id="30" w:name="_Toc19478"/>
      <w:bookmarkStart w:id="31" w:name="_Toc32023"/>
      <w:bookmarkStart w:id="32" w:name="_Toc11377"/>
      <w:bookmarkStart w:id="33" w:name="_Toc27766"/>
      <w:r>
        <w:rPr>
          <w:rFonts w:hint="eastAsia" w:ascii="方正楷体_GB2312" w:hAnsi="方正楷体_GB2312" w:eastAsia="方正楷体_GB2312" w:cs="方正楷体_GB2312"/>
          <w:b w:val="0"/>
          <w:bCs w:val="0"/>
          <w:color w:val="auto"/>
          <w:highlight w:val="none"/>
          <w:u w:val="none"/>
          <w:lang w:val="en-US" w:eastAsia="zh-CN"/>
        </w:rPr>
        <w:t>全面增强农业防灾减灾能力</w:t>
      </w:r>
      <w:bookmarkEnd w:id="29"/>
      <w:bookmarkEnd w:id="30"/>
      <w:bookmarkEnd w:id="31"/>
      <w:bookmarkEnd w:id="32"/>
      <w:bookmarkEnd w:id="33"/>
    </w:p>
    <w:p w14:paraId="10C4A8A5">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方正楷体_GB2312" w:hAnsi="方正楷体_GB2312" w:eastAsia="方正楷体_GB2312" w:cs="方正楷体_GB2312"/>
          <w:b w:val="0"/>
          <w:bCs w:val="0"/>
          <w:color w:val="auto"/>
          <w:highlight w:val="none"/>
          <w:u w:val="none"/>
          <w:lang w:val="en-US" w:eastAsia="zh-CN"/>
        </w:rPr>
      </w:pPr>
      <w:r>
        <w:rPr>
          <w:rFonts w:hint="eastAsia" w:ascii="仿宋_GB2312" w:hAnsi="仿宋_GB2312" w:eastAsia="仿宋_GB2312" w:cs="仿宋_GB2312"/>
          <w:highlight w:val="none"/>
          <w:u w:val="none"/>
          <w:lang w:val="en-US" w:eastAsia="zh-CN"/>
        </w:rPr>
        <w:t>高度重视极端天气、地质灾害、旱涝急转等风险，加密布设基层监测站点，不断提升气象、水文、地质灾害监测预警精准度。提高农田保水保土保肥能力、抵御旱涝灾害能力和机械化耕作便捷水平，建强应急服务功能，配齐履带式拖拉机、移动烘干机、排涝泵、喷灌机等“平急两用”装备。建强农机应急服务队，支持组建应急抢种抢收、重大病虫害防控、动物防疫、农产品烘干晾晒等救灾服务组织。强化重大动物疫病监测和农作物病虫害统防统治。常态化开展农业防灾减灾科普培训。</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E6E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tcPr>
          <w:p w14:paraId="27A5750C">
            <w:pPr>
              <w:keepNext w:val="0"/>
              <w:keepLines w:val="0"/>
              <w:numPr>
                <w:ilvl w:val="-1"/>
                <w:numId w:val="0"/>
              </w:numPr>
              <w:suppressLineNumbers w:val="0"/>
              <w:snapToGrid w:val="0"/>
              <w:spacing w:before="0" w:beforeAutospacing="0" w:after="0" w:afterAutospacing="0" w:line="240" w:lineRule="auto"/>
              <w:ind w:left="0" w:leftChars="0" w:right="0"/>
              <w:jc w:val="center"/>
              <w:rPr>
                <w:rFonts w:hint="default" w:ascii="方正楷体_GB2312" w:hAnsi="方正楷体_GB2312" w:eastAsia="方正楷体_GB2312" w:cs="方正楷体_GB2312"/>
                <w:i w:val="0"/>
                <w:iCs w:val="0"/>
                <w:caps w:val="0"/>
                <w:color w:val="auto"/>
                <w:spacing w:val="0"/>
                <w:kern w:val="2"/>
                <w:sz w:val="32"/>
                <w:szCs w:val="32"/>
                <w:highlight w:val="none"/>
                <w:u w:val="none"/>
                <w:shd w:val="clear" w:fill="auto"/>
                <w:vertAlign w:val="baseline"/>
                <w:lang w:val="en-US" w:eastAsia="zh-CN" w:bidi="ar"/>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lang w:val="en-US" w:eastAsia="zh-CN" w:bidi="ar"/>
              </w:rPr>
              <w:t>专栏2 粮食等重要农产品供给保障能力提升</w:t>
            </w:r>
          </w:p>
        </w:tc>
      </w:tr>
      <w:tr w14:paraId="679EA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tcPr>
          <w:p w14:paraId="368F4A38">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00" w:lineRule="exact"/>
              <w:ind w:left="0" w:right="0" w:firstLine="560" w:firstLineChars="200"/>
              <w:jc w:val="both"/>
              <w:textAlignment w:val="auto"/>
              <w:rPr>
                <w:rFonts w:hint="default"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1.高标准农田建设。</w:t>
            </w:r>
            <w:r>
              <w:rPr>
                <w:rFonts w:hint="eastAsia" w:ascii="仿宋_GB2312" w:hAnsi="仿宋_GB2312" w:eastAsia="仿宋_GB2312" w:cs="仿宋_GB2312"/>
                <w:sz w:val="28"/>
                <w:szCs w:val="28"/>
                <w:highlight w:val="none"/>
                <w:u w:val="none"/>
                <w:lang w:val="en-US" w:eastAsia="zh-CN"/>
              </w:rPr>
              <w:t>开展新建和改造提升高标准农田项目，将灌区续建配套节水改造与高标准农田有效衔接，按计划逐步将具备条件的永久基本农田全部改造成高标准农田。到2030年，新建、改造提升高标准农田面积为2.13万亩、4.95万亩。</w:t>
            </w:r>
          </w:p>
          <w:p w14:paraId="4FFF8560">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00" w:lineRule="exact"/>
              <w:ind w:left="0" w:right="0" w:firstLine="560" w:firstLineChars="200"/>
              <w:jc w:val="both"/>
              <w:textAlignment w:val="auto"/>
              <w:rPr>
                <w:rFonts w:hint="eastAsia" w:ascii="仿宋_GB2312" w:hAnsi="仿宋_GB2312" w:eastAsia="仿宋_GB2312" w:cs="仿宋_GB2312"/>
                <w:i w:val="0"/>
                <w:iCs w:val="0"/>
                <w:caps w:val="0"/>
                <w:color w:val="auto"/>
                <w:spacing w:val="0"/>
                <w:kern w:val="2"/>
                <w:sz w:val="28"/>
                <w:szCs w:val="28"/>
                <w:highlight w:val="none"/>
                <w:u w:val="none"/>
                <w:shd w:val="clear" w:fill="auto"/>
                <w:vertAlign w:val="baseline"/>
                <w:lang w:val="en-US" w:eastAsia="zh-CN" w:bidi="ar"/>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2.</w:t>
            </w:r>
            <w:r>
              <w:rPr>
                <w:rFonts w:hint="eastAsia" w:ascii="方正楷体_GB2312" w:hAnsi="方正楷体_GB2312" w:eastAsia="方正楷体_GB2312" w:cs="方正楷体_GB2312"/>
                <w:b w:val="0"/>
                <w:bCs w:val="0"/>
                <w:color w:val="auto"/>
                <w:sz w:val="28"/>
                <w:szCs w:val="28"/>
                <w:highlight w:val="none"/>
                <w:u w:val="none"/>
                <w:lang w:val="en-US" w:eastAsia="zh-CN"/>
              </w:rPr>
              <w:t>推进粮油作物大面积单产提升。</w:t>
            </w:r>
            <w:r>
              <w:rPr>
                <w:rFonts w:hint="eastAsia" w:ascii="仿宋_GB2312" w:hAnsi="仿宋_GB2312" w:eastAsia="仿宋_GB2312" w:cs="仿宋_GB2312"/>
                <w:b w:val="0"/>
                <w:bCs w:val="0"/>
                <w:color w:val="auto"/>
                <w:sz w:val="28"/>
                <w:szCs w:val="28"/>
                <w:highlight w:val="none"/>
                <w:u w:val="none"/>
                <w:lang w:val="en-US" w:eastAsia="zh-CN"/>
              </w:rPr>
              <w:t>水稻以全域为重点，</w:t>
            </w:r>
            <w:r>
              <w:rPr>
                <w:rFonts w:hint="eastAsia" w:ascii="仿宋_GB2312" w:hAnsi="仿宋_GB2312" w:eastAsia="仿宋_GB2312" w:cs="仿宋_GB2312"/>
                <w:color w:val="auto"/>
                <w:sz w:val="28"/>
                <w:szCs w:val="28"/>
                <w:highlight w:val="none"/>
                <w:u w:val="none"/>
                <w:lang w:val="en-US" w:eastAsia="zh-CN"/>
              </w:rPr>
              <w:t>甘薯以大洞、大站、波罗、沙口镇为重点</w:t>
            </w:r>
            <w:r>
              <w:rPr>
                <w:rFonts w:hint="eastAsia" w:ascii="仿宋_GB2312" w:hAnsi="仿宋_GB2312" w:eastAsia="仿宋_GB2312" w:cs="仿宋_GB2312"/>
                <w:b w:val="0"/>
                <w:bCs w:val="0"/>
                <w:color w:val="auto"/>
                <w:sz w:val="28"/>
                <w:szCs w:val="28"/>
                <w:highlight w:val="none"/>
                <w:u w:val="none"/>
                <w:lang w:val="en-US" w:eastAsia="zh-CN"/>
              </w:rPr>
              <w:t>，</w:t>
            </w:r>
            <w:r>
              <w:rPr>
                <w:rFonts w:hint="eastAsia" w:ascii="仿宋_GB2312" w:hAnsi="仿宋_GB2312" w:eastAsia="仿宋_GB2312" w:cs="仿宋_GB2312"/>
                <w:color w:val="auto"/>
                <w:sz w:val="28"/>
                <w:szCs w:val="28"/>
                <w:highlight w:val="none"/>
                <w:u w:val="none"/>
                <w:lang w:val="en-US" w:eastAsia="zh-CN"/>
              </w:rPr>
              <w:t>大豆以九龙、桥头、大湾、沙口镇为重点，油菜以桥头镇为重点，促进大面积均衡增产，布局建设“百亩田、千亩方、万亩片”。到2030年，全市粮食面积、总产量超58万亩、20万吨。</w:t>
            </w:r>
          </w:p>
          <w:p w14:paraId="2CCDE5AA">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500" w:lineRule="exact"/>
              <w:ind w:left="0" w:right="0" w:firstLine="560" w:firstLineChars="200"/>
              <w:jc w:val="both"/>
              <w:textAlignment w:val="auto"/>
              <w:rPr>
                <w:rFonts w:hint="eastAsia" w:ascii="仿宋_GB2312" w:hAnsi="仿宋_GB2312" w:cs="仿宋_GB2312"/>
                <w:color w:val="auto"/>
                <w:sz w:val="28"/>
                <w:szCs w:val="28"/>
                <w:highlight w:val="none"/>
                <w:u w:val="none"/>
                <w:lang w:val="en-US" w:eastAsia="zh-CN"/>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3.</w:t>
            </w:r>
            <w:r>
              <w:rPr>
                <w:rFonts w:hint="eastAsia" w:ascii="方正楷体_GB2312" w:hAnsi="方正楷体_GB2312" w:eastAsia="方正楷体_GB2312" w:cs="方正楷体_GB2312"/>
                <w:b w:val="0"/>
                <w:bCs w:val="0"/>
                <w:color w:val="auto"/>
                <w:sz w:val="28"/>
                <w:szCs w:val="28"/>
                <w:highlight w:val="none"/>
                <w:u w:val="none"/>
                <w:lang w:val="en-US" w:eastAsia="zh-CN"/>
              </w:rPr>
              <w:t>增强重要农产品供给保障能力</w:t>
            </w: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w:t>
            </w:r>
            <w:r>
              <w:rPr>
                <w:rFonts w:hint="eastAsia" w:ascii="仿宋_GB2312" w:hAnsi="仿宋_GB2312" w:eastAsia="仿宋_GB2312" w:cs="仿宋_GB2312"/>
                <w:color w:val="auto"/>
                <w:sz w:val="28"/>
                <w:szCs w:val="28"/>
                <w:highlight w:val="none"/>
                <w:u w:val="none"/>
                <w:lang w:val="en-US" w:eastAsia="zh-CN"/>
              </w:rPr>
              <w:t>到2030年，全市蔬菜、肉类、水产品产量分别稳定在90万吨、25万吨、4万吨以上。</w:t>
            </w:r>
          </w:p>
          <w:p w14:paraId="4CAD7CC5">
            <w:pPr>
              <w:keepNext w:val="0"/>
              <w:keepLines w:val="0"/>
              <w:numPr>
                <w:ilvl w:val="0"/>
                <w:numId w:val="0"/>
              </w:numPr>
              <w:suppressLineNumbers w:val="0"/>
              <w:snapToGrid w:val="0"/>
              <w:spacing w:before="0" w:beforeAutospacing="0" w:after="0" w:afterAutospacing="0" w:line="500" w:lineRule="exact"/>
              <w:ind w:left="0" w:right="0" w:firstLine="560" w:firstLineChars="200"/>
              <w:jc w:val="both"/>
              <w:rPr>
                <w:rFonts w:hint="default"/>
                <w:sz w:val="28"/>
                <w:szCs w:val="28"/>
                <w:highlight w:val="none"/>
                <w:u w:val="none"/>
                <w:lang w:val="en-US" w:eastAsia="zh-CN"/>
              </w:rPr>
            </w:pPr>
            <w:r>
              <w:rPr>
                <w:rFonts w:hint="eastAsia" w:ascii="方正楷体_GB2312" w:hAnsi="方正楷体_GB2312" w:eastAsia="方正楷体_GB2312" w:cs="方正楷体_GB2312"/>
                <w:b w:val="0"/>
                <w:bCs w:val="0"/>
                <w:color w:val="auto"/>
                <w:kern w:val="2"/>
                <w:sz w:val="28"/>
                <w:szCs w:val="28"/>
                <w:highlight w:val="none"/>
                <w:u w:val="none"/>
                <w:lang w:val="en-US" w:eastAsia="zh-CN" w:bidi="ar-SA"/>
              </w:rPr>
              <w:t>4.拓展多元化食物。</w:t>
            </w:r>
            <w:r>
              <w:rPr>
                <w:rFonts w:hint="eastAsia" w:ascii="仿宋_GB2312" w:hAnsi="仿宋_GB2312" w:eastAsia="仿宋_GB2312" w:cs="仿宋_GB2312"/>
                <w:color w:val="auto"/>
                <w:kern w:val="2"/>
                <w:sz w:val="28"/>
                <w:szCs w:val="28"/>
                <w:highlight w:val="none"/>
                <w:u w:val="none"/>
                <w:lang w:val="en-US" w:eastAsia="zh-CN" w:bidi="ar-SA"/>
              </w:rPr>
              <w:t>推进老旧蔬菜设施、水果大棚、食用菌菌棚改造提升，规模化畜禽养殖场、养殖池塘设施设备提档升级</w:t>
            </w:r>
            <w:r>
              <w:rPr>
                <w:rFonts w:hint="eastAsia" w:ascii="仿宋_GB2312" w:hAnsi="仿宋_GB2312" w:cs="仿宋_GB2312"/>
                <w:color w:val="auto"/>
                <w:kern w:val="2"/>
                <w:sz w:val="28"/>
                <w:szCs w:val="28"/>
                <w:highlight w:val="none"/>
                <w:u w:val="none"/>
                <w:lang w:val="en-US" w:eastAsia="zh-CN" w:bidi="ar-SA"/>
              </w:rPr>
              <w:t>，</w:t>
            </w:r>
            <w:r>
              <w:rPr>
                <w:rFonts w:hint="eastAsia" w:ascii="仿宋_GB2312" w:hAnsi="仿宋_GB2312" w:eastAsia="仿宋_GB2312" w:cs="仿宋_GB2312"/>
                <w:color w:val="auto"/>
                <w:kern w:val="2"/>
                <w:sz w:val="28"/>
                <w:szCs w:val="28"/>
                <w:highlight w:val="none"/>
                <w:u w:val="none"/>
                <w:lang w:val="en-US" w:eastAsia="zh-CN" w:bidi="ar-SA"/>
              </w:rPr>
              <w:t>提高设施蔬菜、水果、肉类、水产品等生产占比，提升设施农业智能化水平。建设林下经济种养基地、森林康养基地，建设竹纤维切片加工集中区3个以上。到2030年，全市林下经济总产值达40亿元。</w:t>
            </w:r>
          </w:p>
        </w:tc>
      </w:tr>
    </w:tbl>
    <w:p w14:paraId="47B4BF96">
      <w:pPr>
        <w:pStyle w:val="19"/>
        <w:keepNext/>
        <w:keepLines/>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0"/>
        <w:rPr>
          <w:rFonts w:hint="eastAsia" w:ascii="黑体" w:hAnsi="黑体" w:eastAsia="黑体" w:cs="黑体"/>
          <w:b/>
          <w:bCs/>
          <w:color w:val="0000FF"/>
          <w:sz w:val="28"/>
          <w:szCs w:val="28"/>
          <w:highlight w:val="none"/>
          <w:u w:val="none"/>
          <w:lang w:val="en-US" w:eastAsia="zh-CN"/>
        </w:rPr>
      </w:pPr>
      <w:bookmarkStart w:id="34" w:name="_Toc7828"/>
      <w:bookmarkStart w:id="35" w:name="_Toc13586"/>
      <w:bookmarkStart w:id="36" w:name="_Toc16820"/>
      <w:bookmarkStart w:id="37" w:name="_Toc2073"/>
      <w:bookmarkStart w:id="38" w:name="_Toc7321"/>
      <w:r>
        <w:rPr>
          <w:rFonts w:hint="eastAsia" w:ascii="黑体" w:hAnsi="黑体" w:eastAsia="黑体" w:cs="黑体"/>
          <w:sz w:val="28"/>
          <w:szCs w:val="28"/>
          <w:highlight w:val="none"/>
          <w:u w:val="none"/>
          <w:lang w:val="en-US" w:eastAsia="zh-CN"/>
        </w:rPr>
        <w:t>三、深化构建“2+2+N”特色农业产业体系，把农业做成现代化大产业</w:t>
      </w:r>
      <w:bookmarkEnd w:id="34"/>
      <w:bookmarkEnd w:id="35"/>
      <w:bookmarkEnd w:id="36"/>
      <w:bookmarkEnd w:id="37"/>
      <w:bookmarkEnd w:id="38"/>
    </w:p>
    <w:p w14:paraId="79C0DBD1">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39" w:name="_Toc19079"/>
      <w:bookmarkStart w:id="40" w:name="_Toc14690"/>
      <w:bookmarkStart w:id="41" w:name="_Toc1201"/>
      <w:bookmarkStart w:id="42" w:name="_Toc23739"/>
      <w:bookmarkStart w:id="43" w:name="_Toc5083"/>
      <w:r>
        <w:rPr>
          <w:rFonts w:hint="eastAsia" w:ascii="方正楷体_GB2312" w:hAnsi="方正楷体_GB2312" w:eastAsia="方正楷体_GB2312" w:cs="方正楷体_GB2312"/>
          <w:i w:val="0"/>
          <w:iCs w:val="0"/>
          <w:caps w:val="0"/>
          <w:color w:val="auto"/>
          <w:spacing w:val="0"/>
          <w:kern w:val="2"/>
          <w:sz w:val="32"/>
          <w:szCs w:val="32"/>
          <w:highlight w:val="none"/>
          <w:u w:val="none"/>
          <w:shd w:val="clear" w:fill="auto"/>
          <w:lang w:val="en-US" w:eastAsia="zh-CN" w:bidi="ar"/>
        </w:rPr>
        <w:t>培育壮大“2+2+N”特色农业产业集群</w:t>
      </w:r>
      <w:bookmarkEnd w:id="39"/>
      <w:bookmarkEnd w:id="40"/>
      <w:bookmarkEnd w:id="41"/>
      <w:bookmarkEnd w:id="42"/>
      <w:bookmarkEnd w:id="43"/>
    </w:p>
    <w:p w14:paraId="06367D52">
      <w:pPr>
        <w:pStyle w:val="20"/>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outlineLvl w:val="9"/>
        <w:rPr>
          <w:rFonts w:hint="eastAsia" w:ascii="Times New Roman" w:hAnsi="Times New Roman" w:cs="Times New Roman"/>
          <w:b w:val="0"/>
          <w:bCs w:val="0"/>
          <w:color w:val="auto"/>
          <w:kern w:val="2"/>
          <w:sz w:val="32"/>
          <w:szCs w:val="32"/>
          <w:highlight w:val="none"/>
          <w:u w:val="none"/>
          <w:lang w:val="en-US" w:eastAsia="zh-CN" w:bidi="ar-SA"/>
        </w:rPr>
      </w:pPr>
      <w:r>
        <w:rPr>
          <w:rFonts w:hint="eastAsia" w:ascii="仿宋_GB2312" w:hAnsi="仿宋_GB2312" w:cs="仿宋_GB2312"/>
          <w:sz w:val="32"/>
          <w:szCs w:val="32"/>
          <w:highlight w:val="none"/>
          <w:u w:val="none"/>
          <w:shd w:val="clear"/>
          <w:lang w:val="en-US" w:eastAsia="zh-CN"/>
        </w:rPr>
        <w:t>做强做优</w:t>
      </w:r>
      <w:r>
        <w:rPr>
          <w:rFonts w:hint="eastAsia" w:ascii="仿宋_GB2312" w:hAnsi="仿宋_GB2312" w:cs="仿宋_GB2312"/>
          <w:sz w:val="32"/>
          <w:szCs w:val="32"/>
          <w:highlight w:val="none"/>
          <w:u w:val="none"/>
          <w:lang w:val="en-US" w:eastAsia="zh-CN"/>
        </w:rPr>
        <w:t>英德红茶、西牛麻竹笋</w:t>
      </w:r>
      <w:r>
        <w:rPr>
          <w:rFonts w:hint="eastAsia" w:ascii="仿宋_GB2312" w:hAnsi="仿宋_GB2312" w:cs="仿宋_GB2312"/>
          <w:sz w:val="32"/>
          <w:szCs w:val="32"/>
          <w:highlight w:val="none"/>
          <w:u w:val="none"/>
          <w:shd w:val="clear"/>
          <w:lang w:val="en-US" w:eastAsia="zh-CN"/>
        </w:rPr>
        <w:t>两大百亿产业和</w:t>
      </w:r>
      <w:r>
        <w:rPr>
          <w:rFonts w:hint="eastAsia" w:ascii="仿宋_GB2312" w:hAnsi="仿宋_GB2312" w:cs="仿宋_GB2312"/>
          <w:sz w:val="32"/>
          <w:szCs w:val="32"/>
          <w:highlight w:val="none"/>
          <w:u w:val="none"/>
          <w:lang w:val="en-US" w:eastAsia="zh-CN"/>
        </w:rPr>
        <w:t>清远鸡、丝苗米</w:t>
      </w:r>
      <w:r>
        <w:rPr>
          <w:rFonts w:hint="eastAsia" w:ascii="仿宋_GB2312" w:hAnsi="仿宋_GB2312" w:cs="仿宋_GB2312"/>
          <w:sz w:val="32"/>
          <w:szCs w:val="32"/>
          <w:highlight w:val="none"/>
          <w:u w:val="none"/>
          <w:shd w:val="clear"/>
          <w:lang w:val="en-US" w:eastAsia="zh-CN"/>
        </w:rPr>
        <w:t>两大重点</w:t>
      </w:r>
      <w:r>
        <w:rPr>
          <w:rFonts w:hint="eastAsia" w:ascii="仿宋_GB2312" w:hAnsi="仿宋_GB2312" w:cs="仿宋_GB2312"/>
          <w:sz w:val="32"/>
          <w:szCs w:val="32"/>
          <w:highlight w:val="none"/>
          <w:u w:val="none"/>
          <w:lang w:val="en-US" w:eastAsia="zh-CN"/>
        </w:rPr>
        <w:t>产业，培优肉鸽、生猪和</w:t>
      </w:r>
      <w:r>
        <w:rPr>
          <w:rFonts w:hint="eastAsia" w:ascii="仿宋_GB2312" w:hAnsi="仿宋_GB2312" w:cs="仿宋_GB2312"/>
          <w:color w:val="auto"/>
          <w:sz w:val="32"/>
          <w:szCs w:val="32"/>
          <w:highlight w:val="none"/>
          <w:u w:val="none"/>
          <w:lang w:val="en-US" w:eastAsia="zh-CN"/>
        </w:rPr>
        <w:t>壮大九龙豆制品、蚕桑、肉牛、食用菌、特色水产等特色产业，协同发展黑皮冬瓜、特色蔬菜</w:t>
      </w:r>
      <w:r>
        <w:rPr>
          <w:rFonts w:hint="eastAsia"/>
          <w:color w:val="auto"/>
          <w:sz w:val="32"/>
          <w:szCs w:val="32"/>
          <w:highlight w:val="none"/>
          <w:u w:val="none"/>
          <w:lang w:val="en-US" w:eastAsia="zh-CN"/>
        </w:rPr>
        <w:t>、黑皮甘蔗、特色水果</w:t>
      </w:r>
      <w:r>
        <w:rPr>
          <w:rFonts w:hint="eastAsia" w:ascii="仿宋_GB2312" w:hAnsi="仿宋_GB2312" w:cs="仿宋_GB2312"/>
          <w:color w:val="auto"/>
          <w:sz w:val="32"/>
          <w:szCs w:val="32"/>
          <w:highlight w:val="none"/>
          <w:u w:val="none"/>
          <w:lang w:val="en-US" w:eastAsia="zh-CN"/>
        </w:rPr>
        <w:t>等专精特优产业</w:t>
      </w:r>
      <w:r>
        <w:rPr>
          <w:rFonts w:hint="eastAsia" w:ascii="仿宋_GB2312" w:hAnsi="仿宋_GB2312" w:cs="仿宋_GB2312"/>
          <w:sz w:val="32"/>
          <w:szCs w:val="32"/>
          <w:highlight w:val="none"/>
          <w:u w:val="none"/>
          <w:lang w:val="en-US" w:eastAsia="zh-CN"/>
        </w:rPr>
        <w:t>，</w:t>
      </w:r>
      <w:r>
        <w:rPr>
          <w:rFonts w:hint="eastAsia" w:ascii="仿宋_GB2312" w:hAnsi="仿宋_GB2312" w:eastAsia="仿宋_GB2312" w:cs="仿宋_GB2312"/>
          <w:color w:val="auto"/>
          <w:kern w:val="2"/>
          <w:sz w:val="32"/>
          <w:szCs w:val="32"/>
          <w:highlight w:val="none"/>
          <w:u w:val="none"/>
          <w:lang w:val="en-US" w:eastAsia="zh-CN" w:bidi="ar-SA"/>
        </w:rPr>
        <w:t>构建梯次产业发展格局</w:t>
      </w:r>
      <w:r>
        <w:rPr>
          <w:rFonts w:hint="eastAsia" w:ascii="仿宋_GB2312" w:hAnsi="仿宋_GB2312" w:eastAsia="仿宋_GB2312" w:cs="仿宋_GB2312"/>
          <w:strike w:val="0"/>
          <w:color w:val="auto"/>
          <w:kern w:val="2"/>
          <w:sz w:val="32"/>
          <w:szCs w:val="32"/>
          <w:highlight w:val="none"/>
          <w:u w:val="none"/>
          <w:lang w:val="en-US" w:eastAsia="zh-CN" w:bidi="ar-SA"/>
        </w:rPr>
        <w:t>，</w:t>
      </w:r>
      <w:r>
        <w:rPr>
          <w:rFonts w:hint="eastAsia" w:ascii="仿宋_GB2312" w:hAnsi="仿宋_GB2312" w:cs="仿宋_GB2312"/>
          <w:sz w:val="32"/>
          <w:szCs w:val="32"/>
          <w:highlight w:val="none"/>
          <w:u w:val="none"/>
          <w:shd w:val="clear"/>
          <w:lang w:val="en-US" w:eastAsia="zh-CN"/>
        </w:rPr>
        <w:t>以农业产业集群化发展为主攻方向，</w:t>
      </w:r>
      <w:r>
        <w:rPr>
          <w:rFonts w:hint="eastAsia" w:ascii="仿宋_GB2312" w:hAnsi="仿宋_GB2312" w:eastAsia="仿宋_GB2312" w:cs="仿宋_GB2312"/>
          <w:i w:val="0"/>
          <w:iCs w:val="0"/>
          <w:caps w:val="0"/>
          <w:spacing w:val="0"/>
          <w:sz w:val="32"/>
          <w:szCs w:val="32"/>
          <w:highlight w:val="none"/>
          <w:u w:val="none"/>
          <w:shd w:val="clear"/>
        </w:rPr>
        <w:t>全面提升产能、品质和效益</w:t>
      </w:r>
      <w:r>
        <w:rPr>
          <w:rFonts w:hint="eastAsia" w:ascii="仿宋_GB2312" w:hAnsi="仿宋_GB2312" w:cs="仿宋_GB2312"/>
          <w:sz w:val="32"/>
          <w:szCs w:val="32"/>
          <w:highlight w:val="none"/>
          <w:u w:val="none"/>
          <w:lang w:val="en-US" w:eastAsia="zh-CN"/>
        </w:rPr>
        <w:t>。</w:t>
      </w:r>
    </w:p>
    <w:p w14:paraId="47EBEABD">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44" w:name="_Toc14772"/>
      <w:bookmarkStart w:id="45" w:name="_Toc13100"/>
      <w:bookmarkStart w:id="46" w:name="_Toc10565"/>
      <w:bookmarkStart w:id="47" w:name="_Toc23347"/>
      <w:bookmarkStart w:id="48" w:name="_Toc1001"/>
      <w:r>
        <w:rPr>
          <w:rFonts w:hint="eastAsia" w:ascii="方正楷体_GB2312" w:hAnsi="方正楷体_GB2312" w:eastAsia="方正楷体_GB2312" w:cs="方正楷体_GB2312"/>
          <w:b w:val="0"/>
          <w:bCs w:val="0"/>
          <w:color w:val="auto"/>
          <w:sz w:val="32"/>
          <w:szCs w:val="32"/>
          <w:highlight w:val="none"/>
          <w:u w:val="none"/>
          <w:lang w:val="en-US" w:eastAsia="zh-CN"/>
        </w:rPr>
        <w:t>推动农产品加工流通优化升级</w:t>
      </w:r>
      <w:bookmarkEnd w:id="44"/>
      <w:bookmarkEnd w:id="45"/>
      <w:bookmarkEnd w:id="46"/>
      <w:bookmarkEnd w:id="47"/>
      <w:bookmarkEnd w:id="48"/>
    </w:p>
    <w:p w14:paraId="6E8790EC">
      <w:pPr>
        <w:keepNext w:val="0"/>
        <w:keepLines w:val="0"/>
        <w:pageBreakBefore w:val="0"/>
        <w:widowControl w:val="0"/>
        <w:numPr>
          <w:ilvl w:val="2"/>
          <w:numId w:val="0"/>
        </w:numPr>
        <w:tabs>
          <w:tab w:val="left" w:pos="0"/>
        </w:tabs>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协同推进农产品初加工、精深加工和综合利用加工，创新开发方便食品、休闲食品、功能食品、保健饮品和预制菜产品，布局建设农产品加工园区</w:t>
      </w:r>
      <w:r>
        <w:rPr>
          <w:rFonts w:hint="eastAsia" w:ascii="仿宋_GB2312" w:hAnsi="仿宋_GB2312" w:cs="仿宋_GB2312"/>
          <w:sz w:val="32"/>
          <w:szCs w:val="32"/>
          <w:highlight w:val="none"/>
          <w:u w:val="none"/>
          <w:lang w:val="en-US" w:eastAsia="zh-CN"/>
        </w:rPr>
        <w:t>。</w:t>
      </w:r>
      <w:r>
        <w:rPr>
          <w:rFonts w:hint="eastAsia" w:ascii="仿宋_GB2312" w:hAnsi="仿宋_GB2312" w:eastAsia="仿宋_GB2312" w:cs="仿宋_GB2312"/>
          <w:sz w:val="32"/>
          <w:szCs w:val="32"/>
          <w:highlight w:val="none"/>
          <w:u w:val="none"/>
          <w:lang w:val="en-US" w:eastAsia="zh-CN"/>
        </w:rPr>
        <w:t>完善农产品加工标准体系</w:t>
      </w:r>
      <w:r>
        <w:rPr>
          <w:rFonts w:hint="eastAsia" w:ascii="仿宋_GB2312" w:hAnsi="仿宋_GB2312" w:cs="仿宋_GB2312"/>
          <w:sz w:val="32"/>
          <w:szCs w:val="32"/>
          <w:highlight w:val="none"/>
          <w:u w:val="none"/>
          <w:lang w:val="en-US" w:eastAsia="zh-CN"/>
        </w:rPr>
        <w:t>。</w:t>
      </w:r>
      <w:r>
        <w:rPr>
          <w:rFonts w:hint="eastAsia" w:ascii="仿宋_GB2312" w:hAnsi="仿宋_GB2312" w:eastAsia="仿宋_GB2312" w:cs="仿宋_GB2312"/>
          <w:sz w:val="32"/>
          <w:szCs w:val="32"/>
          <w:highlight w:val="none"/>
          <w:u w:val="none"/>
          <w:lang w:val="en-US" w:eastAsia="zh-CN"/>
        </w:rPr>
        <w:t>构建“产地冷藏保鲜设施+产业集聚区冷链集配中心”覆盖主产区的冷链基础网，发挥供销社冷链物流服务能力，设立从田间到冷链服务站、冷链集配中心的冷链运输专线。完善“县域公共配送中心－镇级物流服务站－村级物流服务点”三级物流配送体系，谋划布局区域性大型农产品批发市场和镇域农产品集散中心/交易市场，持续推进麻竹笋标准化收储点（厂）建设，在英红镇建立全国性的茶叶博览交易中心，支持发展“电子商务＋产地仓＋快递物流”仓配融合模式。</w:t>
      </w:r>
    </w:p>
    <w:p w14:paraId="33DE7DD4">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49" w:name="_Toc18386"/>
      <w:bookmarkStart w:id="50" w:name="_Toc31073"/>
      <w:bookmarkStart w:id="51" w:name="_Toc6204"/>
      <w:bookmarkStart w:id="52" w:name="_Toc23981"/>
      <w:bookmarkStart w:id="53" w:name="_Toc16870"/>
      <w:r>
        <w:rPr>
          <w:rFonts w:hint="eastAsia" w:ascii="方正楷体_GB2312" w:hAnsi="方正楷体_GB2312" w:eastAsia="方正楷体_GB2312" w:cs="方正楷体_GB2312"/>
          <w:b w:val="0"/>
          <w:bCs w:val="0"/>
          <w:color w:val="auto"/>
          <w:sz w:val="32"/>
          <w:szCs w:val="32"/>
          <w:highlight w:val="none"/>
          <w:u w:val="none"/>
          <w:lang w:val="en-US" w:eastAsia="zh-CN"/>
        </w:rPr>
        <w:t>推进发展绿色农业和质量农业</w:t>
      </w:r>
      <w:bookmarkEnd w:id="49"/>
      <w:bookmarkEnd w:id="50"/>
      <w:bookmarkEnd w:id="51"/>
      <w:bookmarkEnd w:id="52"/>
      <w:bookmarkEnd w:id="53"/>
    </w:p>
    <w:p w14:paraId="181273BC">
      <w:pPr>
        <w:keepNext w:val="0"/>
        <w:keepLines w:val="0"/>
        <w:pageBreakBefore w:val="0"/>
        <w:widowControl/>
        <w:numPr>
          <w:ilvl w:val="-1"/>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持续提升生物多样性保护水平，发展资源节约型、环境友好型和生态保育型农业。推进化肥控量增效、农药减施增效，推广应用高效施肥“三新”技术装备和生物防治、理化诱控等绿色防控模式。推进水产养殖用药和兽用抗菌药使用减量化。推进秸秆综合利用、农膜农药包装废弃物回收和畜禽粪污资源化利用，加强水产养殖尾水处理，深入开展绿色种养循环农业试点工作。完善生态产品价值实现机制，探索“农业+低碳”新业态。健全全产业链标准体系，开展“三品一标”认证，全面落实承诺达标合格证制度，强化全程追溯管理，</w:t>
      </w:r>
      <w:r>
        <w:rPr>
          <w:rFonts w:hint="eastAsia" w:ascii="仿宋_GB2312" w:hAnsi="仿宋_GB2312" w:eastAsia="仿宋_GB2312" w:cs="仿宋_GB2312"/>
          <w:b w:val="0"/>
          <w:bCs w:val="0"/>
          <w:color w:val="auto"/>
          <w:kern w:val="2"/>
          <w:sz w:val="32"/>
          <w:szCs w:val="32"/>
          <w:highlight w:val="none"/>
          <w:u w:val="none"/>
          <w:lang w:val="en-US" w:eastAsia="zh-CN" w:bidi="ar-SA"/>
        </w:rPr>
        <w:t>健全“县-镇-村”三级农产品质量安全监管体系，强化农产品品质评价和质量分级。</w:t>
      </w:r>
    </w:p>
    <w:p w14:paraId="582ABA07">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245" w:name="_GoBack"/>
      <w:bookmarkEnd w:id="245"/>
      <w:bookmarkStart w:id="54" w:name="_Toc28451"/>
      <w:bookmarkStart w:id="55" w:name="_Toc24585"/>
      <w:bookmarkStart w:id="56" w:name="_Toc25304"/>
      <w:bookmarkStart w:id="57" w:name="_Toc10505"/>
      <w:bookmarkStart w:id="58" w:name="_Toc32134"/>
      <w:r>
        <w:rPr>
          <w:rFonts w:hint="eastAsia" w:ascii="方正楷体_GB2312" w:hAnsi="方正楷体_GB2312" w:eastAsia="方正楷体_GB2312" w:cs="方正楷体_GB2312"/>
          <w:b w:val="0"/>
          <w:bCs w:val="0"/>
          <w:color w:val="auto"/>
          <w:sz w:val="32"/>
          <w:szCs w:val="32"/>
          <w:highlight w:val="none"/>
          <w:u w:val="none"/>
          <w:lang w:val="en-US" w:eastAsia="zh-CN"/>
        </w:rPr>
        <w:t>大力发展品牌农业</w:t>
      </w:r>
      <w:bookmarkEnd w:id="54"/>
      <w:bookmarkEnd w:id="55"/>
      <w:bookmarkEnd w:id="56"/>
      <w:bookmarkEnd w:id="57"/>
      <w:bookmarkEnd w:id="58"/>
    </w:p>
    <w:p w14:paraId="0E85F5F9">
      <w:pPr>
        <w:keepNext/>
        <w:keepLines w:val="0"/>
        <w:pageBreakBefore w:val="0"/>
        <w:widowControl w:val="0"/>
        <w:wordWrap/>
        <w:overflowPunct/>
        <w:topLinePunct w:val="0"/>
        <w:autoSpaceDE/>
        <w:autoSpaceDN/>
        <w:bidi w:val="0"/>
        <w:spacing w:line="600" w:lineRule="exac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构建“区域公用品牌+企业品牌+产品品牌”三级农产品品牌矩阵，打造“英州乡土”区域公用品牌，支持区域公用品牌开展“地理标志+名特优新+绿色有机”多层级认证，建立英德市农业品牌培育目录库。</w:t>
      </w:r>
      <w:r>
        <w:rPr>
          <w:rFonts w:hint="eastAsia" w:ascii="仿宋_GB2312" w:hAnsi="仿宋_GB2312" w:eastAsia="仿宋_GB2312" w:cs="仿宋_GB2312"/>
          <w:sz w:val="32"/>
          <w:szCs w:val="32"/>
          <w:highlight w:val="none"/>
          <w:u w:val="none"/>
          <w:lang w:val="en-US" w:eastAsia="zh-CN"/>
        </w:rPr>
        <w:t>深化英德红茶、西牛麻竹笋“12221”农产品市场营销体系建设，推进“媒体+”赋能“百千万工程”农产品市场体系，</w:t>
      </w:r>
      <w:r>
        <w:rPr>
          <w:rFonts w:hint="eastAsia" w:ascii="仿宋_GB2312" w:hAnsi="仿宋_GB2312" w:eastAsia="仿宋_GB2312" w:cs="仿宋_GB2312"/>
          <w:b w:val="0"/>
          <w:bCs w:val="0"/>
          <w:color w:val="auto"/>
          <w:sz w:val="32"/>
          <w:szCs w:val="32"/>
          <w:highlight w:val="none"/>
          <w:u w:val="none"/>
          <w:lang w:val="en-US" w:eastAsia="zh-CN"/>
        </w:rPr>
        <w:t>加快“线上+线下”双端销售平台建设，壮大出口备案基地队伍</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sz w:val="32"/>
          <w:szCs w:val="32"/>
          <w:highlight w:val="none"/>
          <w:u w:val="none"/>
          <w:lang w:val="en-US" w:eastAsia="zh-CN"/>
        </w:rPr>
        <w:t>完善区域公用品牌授权、使用、管理和监督机制，强化品牌质量标准和认证体系建设，加快创建英德红茶国家地理标志产品保护示范区，指导区域公用品牌授权产品通过激光防伪、二维码溯源防伪等技术实现品牌防伪。</w:t>
      </w:r>
    </w:p>
    <w:p w14:paraId="585E1800">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59" w:name="_Toc1376"/>
      <w:bookmarkStart w:id="60" w:name="_Toc4447"/>
      <w:bookmarkStart w:id="61" w:name="_Toc4905"/>
      <w:bookmarkStart w:id="62" w:name="_Toc7987"/>
      <w:bookmarkStart w:id="63" w:name="_Toc30781"/>
      <w:r>
        <w:rPr>
          <w:rFonts w:hint="eastAsia" w:ascii="方正楷体_GB2312" w:hAnsi="方正楷体_GB2312" w:eastAsia="方正楷体_GB2312" w:cs="方正楷体_GB2312"/>
          <w:b w:val="0"/>
          <w:bCs w:val="0"/>
          <w:color w:val="auto"/>
          <w:sz w:val="32"/>
          <w:szCs w:val="32"/>
          <w:highlight w:val="none"/>
          <w:u w:val="none"/>
          <w:lang w:val="en-US" w:eastAsia="zh-CN"/>
        </w:rPr>
        <w:t>打造“农业+”乡村消费新业态</w:t>
      </w:r>
      <w:bookmarkEnd w:id="59"/>
      <w:bookmarkEnd w:id="60"/>
      <w:bookmarkEnd w:id="61"/>
      <w:bookmarkEnd w:id="62"/>
      <w:bookmarkEnd w:id="63"/>
    </w:p>
    <w:p w14:paraId="2F4BA0BD">
      <w:pPr>
        <w:keepNext w:val="0"/>
        <w:keepLines w:val="0"/>
        <w:pageBreakBefore w:val="0"/>
        <w:widowControl w:val="0"/>
        <w:wordWrap/>
        <w:overflowPunct/>
        <w:topLinePunct w:val="0"/>
        <w:autoSpaceDE/>
        <w:autoSpaceDN/>
        <w:bidi w:val="0"/>
        <w:spacing w:line="600"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鼓励特色优势产业基地（园区）拓展观光采摘、研学体验、田园康养等业态，打造以红茶、麻竹笋、豆制品为主题的农文旅融合片区，推动新乡村示范带提质升级和梅子坪徒步设施建设，培育乡村高等级民宿。深入实施“数商兴农”和“互联网+”农产品出村进城工程，引导发展即时零售、社区电商等业态，积极发展“乡村新闻官+直播带货”新业态，打造农产品直播专区。在研学产品、主题路线、展览展示等领域鼓励创新性的乡村文化利用，加强英石假山盆景、红茶制作、九龙豆腐等非遗保护与利用，推动本地特色农产品向美食发展。</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443E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tcPr>
          <w:p w14:paraId="0FC20FAD">
            <w:pPr>
              <w:keepNext w:val="0"/>
              <w:keepLines w:val="0"/>
              <w:numPr>
                <w:ilvl w:val="-1"/>
                <w:numId w:val="0"/>
              </w:numPr>
              <w:suppressLineNumbers w:val="0"/>
              <w:snapToGrid w:val="0"/>
              <w:spacing w:before="0" w:beforeAutospacing="0" w:after="0" w:afterAutospacing="0" w:line="240" w:lineRule="auto"/>
              <w:ind w:left="0" w:leftChars="0" w:right="0"/>
              <w:jc w:val="center"/>
              <w:rPr>
                <w:rFonts w:hint="default"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lang w:val="en-US" w:eastAsia="zh-CN" w:bidi="ar"/>
              </w:rPr>
              <w:t>专栏3 深化构建“2+2+N”特色农业产业体系</w:t>
            </w:r>
          </w:p>
        </w:tc>
      </w:tr>
      <w:tr w14:paraId="0FF02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tcPr>
          <w:p w14:paraId="7E5299E5">
            <w:pPr>
              <w:keepNext w:val="0"/>
              <w:keepLines w:val="0"/>
              <w:suppressLineNumbers w:val="0"/>
              <w:snapToGrid w:val="0"/>
              <w:spacing w:before="0" w:beforeAutospacing="0" w:after="0" w:afterAutospacing="0" w:line="500" w:lineRule="exact"/>
              <w:ind w:left="0" w:right="0" w:firstLine="560" w:firstLineChars="200"/>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1.培育壮大“2+2+N”特色农业产业集群。</w:t>
            </w:r>
          </w:p>
          <w:p w14:paraId="0D1795B7">
            <w:pPr>
              <w:keepNext w:val="0"/>
              <w:keepLines w:val="0"/>
              <w:suppressLineNumbers w:val="0"/>
              <w:snapToGrid w:val="0"/>
              <w:spacing w:before="0" w:beforeAutospacing="0" w:after="0" w:afterAutospacing="0" w:line="500" w:lineRule="exact"/>
              <w:ind w:left="0" w:right="0" w:firstLine="560" w:firstLineChars="200"/>
              <w:rPr>
                <w:rFonts w:hint="eastAsia" w:ascii="仿宋_GB2312" w:hAnsi="宋体" w:eastAsia="仿宋_GB2312" w:cs="仿宋_GB2312"/>
                <w:i w:val="0"/>
                <w:iCs w:val="0"/>
                <w:caps w:val="0"/>
                <w:color w:val="auto"/>
                <w:spacing w:val="0"/>
                <w:kern w:val="0"/>
                <w:sz w:val="28"/>
                <w:szCs w:val="28"/>
                <w:highlight w:val="none"/>
                <w:u w:val="none"/>
                <w:shd w:val="clear"/>
                <w:vertAlign w:val="baseline"/>
                <w:lang w:val="en-US" w:eastAsia="zh-CN" w:bidi="ar"/>
              </w:rPr>
            </w:pPr>
            <w:r>
              <w:rPr>
                <w:rFonts w:hint="eastAsia" w:ascii="方正楷体_GB2312" w:hAnsi="方正楷体_GB2312" w:eastAsia="方正楷体_GB2312" w:cs="方正楷体_GB2312"/>
                <w:b w:val="0"/>
                <w:bCs w:val="0"/>
                <w:i w:val="0"/>
                <w:iCs w:val="0"/>
                <w:caps w:val="0"/>
                <w:color w:val="auto"/>
                <w:spacing w:val="0"/>
                <w:kern w:val="2"/>
                <w:sz w:val="28"/>
                <w:szCs w:val="28"/>
                <w:highlight w:val="none"/>
                <w:u w:val="none"/>
                <w:shd w:val="clear" w:fill="auto"/>
                <w:vertAlign w:val="baseline"/>
                <w:lang w:val="en-US" w:eastAsia="zh-CN" w:bidi="ar"/>
              </w:rPr>
              <w:t>英德红茶</w:t>
            </w:r>
            <w:r>
              <w:rPr>
                <w:rFonts w:hint="eastAsia" w:ascii="仿宋_GB2312" w:hAnsi="宋体" w:cs="仿宋_GB2312"/>
                <w:b w:val="0"/>
                <w:bCs w:val="0"/>
                <w:i w:val="0"/>
                <w:iCs w:val="0"/>
                <w:caps w:val="0"/>
                <w:color w:val="auto"/>
                <w:spacing w:val="0"/>
                <w:kern w:val="0"/>
                <w:sz w:val="28"/>
                <w:szCs w:val="28"/>
                <w:highlight w:val="none"/>
                <w:u w:val="none"/>
                <w:shd w:val="clear"/>
                <w:vertAlign w:val="baseline"/>
                <w:lang w:val="en-US" w:eastAsia="zh-CN" w:bidi="ar"/>
              </w:rPr>
              <w:t>：</w:t>
            </w:r>
            <w:r>
              <w:rPr>
                <w:rFonts w:hint="eastAsia" w:ascii="仿宋_GB2312" w:hAnsi="宋体" w:eastAsia="仿宋_GB2312" w:cs="仿宋_GB2312"/>
                <w:i w:val="0"/>
                <w:iCs w:val="0"/>
                <w:caps w:val="0"/>
                <w:color w:val="auto"/>
                <w:spacing w:val="0"/>
                <w:kern w:val="0"/>
                <w:sz w:val="28"/>
                <w:szCs w:val="28"/>
                <w:highlight w:val="none"/>
                <w:u w:val="none"/>
                <w:shd w:val="clear"/>
                <w:vertAlign w:val="baseline"/>
                <w:lang w:val="en-US" w:eastAsia="zh-CN" w:bidi="ar"/>
              </w:rPr>
              <w:t>改善茶园基础设施，以托管模式盘活失管茶园。引进推广智能化、全程机械化等装备。加快多元开发和精深加工，在英红、石灰铺等镇开发黄茶、白茶及新式茶饮、含茶食品等。在英城街建设云仓体系。深化农文旅融合，持续举办“英德红茶头采季”等活动，塑造文化IP，推进以红旗茶厂为核心的世界级红茶文化展示平台建设。到2030年，建成智慧茶园5个以上，建设精深加工基地2个以上，打造茶旅融合精品路线3条以上。力争全产业链产值达130亿元，全市茶叶面积稳定在20万亩以上。</w:t>
            </w:r>
          </w:p>
          <w:p w14:paraId="031F5F16">
            <w:pPr>
              <w:suppressLineNumbers w:val="0"/>
              <w:snapToGrid w:val="0"/>
              <w:spacing w:before="0" w:beforeAutospacing="0" w:after="0" w:afterAutospacing="0" w:line="500" w:lineRule="exact"/>
              <w:ind w:left="0" w:right="0" w:firstLine="560" w:firstLineChars="200"/>
              <w:rPr>
                <w:rFonts w:hint="eastAsia" w:ascii="仿宋_GB2312" w:hAnsi="宋体" w:eastAsia="仿宋_GB2312" w:cs="仿宋_GB2312"/>
                <w:b w:val="0"/>
                <w:bCs w:val="0"/>
                <w:color w:val="auto"/>
                <w:kern w:val="0"/>
                <w:sz w:val="28"/>
                <w:szCs w:val="28"/>
                <w:highlight w:val="none"/>
                <w:u w:val="none"/>
                <w:lang w:val="en-US" w:eastAsia="zh-CN" w:bidi="ar"/>
              </w:rPr>
            </w:pPr>
            <w:r>
              <w:rPr>
                <w:rFonts w:hint="eastAsia" w:ascii="方正楷体_GB2312" w:hAnsi="方正楷体_GB2312" w:eastAsia="方正楷体_GB2312" w:cs="方正楷体_GB2312"/>
                <w:b w:val="0"/>
                <w:bCs w:val="0"/>
                <w:i w:val="0"/>
                <w:iCs w:val="0"/>
                <w:caps w:val="0"/>
                <w:color w:val="auto"/>
                <w:spacing w:val="0"/>
                <w:kern w:val="2"/>
                <w:sz w:val="28"/>
                <w:szCs w:val="28"/>
                <w:highlight w:val="none"/>
                <w:u w:val="none"/>
                <w:shd w:val="clear" w:fill="auto"/>
                <w:vertAlign w:val="baseline"/>
                <w:lang w:val="en-US" w:eastAsia="zh-CN" w:bidi="ar"/>
              </w:rPr>
              <w:t>西牛麻竹笋：</w:t>
            </w:r>
            <w:r>
              <w:rPr>
                <w:rFonts w:hint="eastAsia" w:ascii="仿宋_GB2312" w:hAnsi="宋体" w:eastAsia="仿宋_GB2312" w:cs="仿宋_GB2312"/>
                <w:i w:val="0"/>
                <w:iCs w:val="0"/>
                <w:caps w:val="0"/>
                <w:color w:val="auto"/>
                <w:spacing w:val="0"/>
                <w:kern w:val="0"/>
                <w:sz w:val="28"/>
                <w:szCs w:val="28"/>
                <w:highlight w:val="none"/>
                <w:u w:val="none"/>
                <w:shd w:val="clear"/>
                <w:vertAlign w:val="baseline"/>
                <w:lang w:val="en-US" w:eastAsia="zh-CN" w:bidi="ar"/>
              </w:rPr>
              <w:t>支持连江口、九龙、石牯塘镇等新建麻竹笋标准化收储点项目，建设英德西牛麻竹笋“补改投”省级现代农业产业园。巩固清水笋、盐渍笋、笋干等生产规模，开发泡椒笋、红油笋、蒜香笋、果味笋等即食笋品类，创新膳食纤维代餐粉、竹叶茶、竹精油等功能食品。到2030年，建成1个麻竹笋种苗繁育中心，年产优质种苗300万株以上，自主研发一批以西牛麻竹笋为主原料的绿色有机食品，鲜笋本地加工率达20%以上，深加工产品年产20万吨，建成库容大于10万吨的区域性综合仓储中心1个。</w:t>
            </w:r>
            <w:r>
              <w:rPr>
                <w:rFonts w:hint="eastAsia" w:ascii="仿宋_GB2312" w:hAnsi="宋体" w:eastAsia="仿宋_GB2312" w:cs="仿宋_GB2312"/>
                <w:b w:val="0"/>
                <w:bCs w:val="0"/>
                <w:color w:val="auto"/>
                <w:kern w:val="0"/>
                <w:sz w:val="28"/>
                <w:szCs w:val="28"/>
                <w:highlight w:val="none"/>
                <w:u w:val="none"/>
                <w:lang w:val="en-US" w:eastAsia="zh-CN" w:bidi="ar"/>
              </w:rPr>
              <w:t>力争西牛麻竹笋全产业链产值达到185亿元，种植面积稳定在90万亩以上，鲜笋产量达到190万吨。</w:t>
            </w:r>
          </w:p>
          <w:p w14:paraId="395F49F5">
            <w:pPr>
              <w:keepNext w:val="0"/>
              <w:keepLines w:val="0"/>
              <w:suppressLineNumbers w:val="0"/>
              <w:snapToGrid w:val="0"/>
              <w:spacing w:before="0" w:beforeAutospacing="0" w:after="0" w:afterAutospacing="0" w:line="500" w:lineRule="exact"/>
              <w:ind w:left="0" w:right="0" w:firstLine="560" w:firstLineChars="200"/>
              <w:rPr>
                <w:rFonts w:hint="eastAsia" w:ascii="仿宋_GB2312" w:hAnsi="仿宋_GB2312" w:eastAsia="仿宋_GB2312" w:cs="仿宋_GB2312"/>
                <w:color w:val="auto"/>
                <w:sz w:val="28"/>
                <w:szCs w:val="28"/>
                <w:highlight w:val="none"/>
                <w:u w:val="none"/>
                <w:lang w:val="en-US" w:eastAsia="zh-CN"/>
              </w:rPr>
            </w:pPr>
            <w:r>
              <w:rPr>
                <w:rFonts w:hint="eastAsia" w:ascii="方正楷体_GB2312" w:hAnsi="方正楷体_GB2312" w:eastAsia="方正楷体_GB2312" w:cs="方正楷体_GB2312"/>
                <w:b w:val="0"/>
                <w:bCs w:val="0"/>
                <w:i w:val="0"/>
                <w:iCs w:val="0"/>
                <w:caps w:val="0"/>
                <w:color w:val="auto"/>
                <w:spacing w:val="0"/>
                <w:kern w:val="2"/>
                <w:sz w:val="28"/>
                <w:szCs w:val="28"/>
                <w:highlight w:val="none"/>
                <w:u w:val="none"/>
                <w:shd w:val="clear" w:fill="auto"/>
                <w:vertAlign w:val="baseline"/>
                <w:lang w:val="en-US" w:eastAsia="zh-CN" w:bidi="ar"/>
              </w:rPr>
              <w:t>清远鸡：</w:t>
            </w:r>
            <w:r>
              <w:rPr>
                <w:rFonts w:hint="eastAsia" w:ascii="仿宋_GB2312" w:hAnsi="仿宋_GB2312" w:eastAsia="仿宋_GB2312" w:cs="仿宋_GB2312"/>
                <w:i w:val="0"/>
                <w:iCs w:val="0"/>
                <w:caps w:val="0"/>
                <w:color w:val="auto"/>
                <w:spacing w:val="0"/>
                <w:kern w:val="2"/>
                <w:sz w:val="28"/>
                <w:szCs w:val="28"/>
                <w:highlight w:val="none"/>
                <w:u w:val="none"/>
                <w:shd w:val="clear"/>
                <w:vertAlign w:val="baseline"/>
                <w:lang w:val="en-US" w:eastAsia="zh-CN" w:bidi="ar"/>
              </w:rPr>
              <w:t>开展清远鸡种质资源调查和收集。推动规模养殖场设施设备升级改造。</w:t>
            </w:r>
            <w:r>
              <w:rPr>
                <w:rFonts w:hint="eastAsia" w:ascii="仿宋_GB2312" w:hAnsi="仿宋_GB2312" w:cs="仿宋_GB2312"/>
                <w:color w:val="auto"/>
                <w:sz w:val="28"/>
                <w:szCs w:val="28"/>
                <w:highlight w:val="none"/>
                <w:u w:val="none"/>
                <w:lang w:val="en-US" w:eastAsia="zh-CN"/>
              </w:rPr>
              <w:t>依托英德市绿色食品深加工专业园区等加工基地，推进与区域养殖相适配的清远鸡屠宰加工</w:t>
            </w:r>
            <w:r>
              <w:rPr>
                <w:rFonts w:hint="eastAsia" w:ascii="仿宋_GB2312" w:hAnsi="仿宋_GB2312" w:eastAsia="仿宋_GB2312" w:cs="仿宋_GB2312"/>
                <w:i w:val="0"/>
                <w:iCs w:val="0"/>
                <w:caps w:val="0"/>
                <w:color w:val="auto"/>
                <w:spacing w:val="0"/>
                <w:kern w:val="2"/>
                <w:sz w:val="28"/>
                <w:szCs w:val="28"/>
                <w:highlight w:val="none"/>
                <w:u w:val="none"/>
                <w:shd w:val="clear"/>
                <w:vertAlign w:val="baseline"/>
                <w:lang w:val="en-US" w:eastAsia="zh-CN" w:bidi="ar"/>
              </w:rPr>
              <w:t>，发展清远鸡预制菜、酱卤熏烤肉制品等多种加工食品</w:t>
            </w:r>
            <w:r>
              <w:rPr>
                <w:rFonts w:hint="eastAsia" w:ascii="仿宋_GB2312" w:hAnsi="仿宋_GB2312" w:cs="仿宋_GB2312"/>
                <w:b w:val="0"/>
                <w:bCs w:val="0"/>
                <w:color w:val="auto"/>
                <w:sz w:val="28"/>
                <w:szCs w:val="28"/>
                <w:highlight w:val="none"/>
                <w:u w:val="none"/>
                <w:lang w:val="en-US" w:eastAsia="zh-CN"/>
              </w:rPr>
              <w:t>。</w:t>
            </w:r>
            <w:r>
              <w:rPr>
                <w:rFonts w:hint="eastAsia" w:ascii="仿宋_GB2312" w:hAnsi="仿宋_GB2312" w:cs="仿宋_GB2312"/>
                <w:color w:val="auto"/>
                <w:sz w:val="28"/>
                <w:szCs w:val="28"/>
                <w:highlight w:val="none"/>
                <w:u w:val="none"/>
                <w:lang w:val="en-US" w:eastAsia="zh-CN"/>
              </w:rPr>
              <w:t>鼓励发展岩山鸡等特色鸡养殖，因地制宜发展“林下生态养殖”模式。</w:t>
            </w:r>
            <w:r>
              <w:rPr>
                <w:rFonts w:hint="eastAsia" w:ascii="仿宋_GB2312" w:hAnsi="仿宋_GB2312" w:cs="仿宋_GB2312"/>
                <w:b w:val="0"/>
                <w:bCs w:val="0"/>
                <w:color w:val="auto"/>
                <w:kern w:val="2"/>
                <w:sz w:val="28"/>
                <w:szCs w:val="28"/>
                <w:highlight w:val="none"/>
                <w:u w:val="none"/>
                <w:lang w:val="en-US" w:eastAsia="zh-CN" w:bidi="ar-SA"/>
              </w:rPr>
              <w:t>到2030年，建设5个左右规模化清远鸡养殖小区。</w:t>
            </w:r>
            <w:r>
              <w:rPr>
                <w:rFonts w:hint="eastAsia" w:ascii="仿宋_GB2312" w:hAnsi="仿宋_GB2312" w:eastAsia="仿宋_GB2312" w:cs="仿宋_GB2312"/>
                <w:color w:val="auto"/>
                <w:sz w:val="28"/>
                <w:szCs w:val="28"/>
                <w:highlight w:val="none"/>
                <w:u w:val="none"/>
                <w:lang w:val="en-US" w:eastAsia="zh-CN"/>
              </w:rPr>
              <w:t>力争全市年出栏肉鸡6500万羽以上，</w:t>
            </w:r>
            <w:r>
              <w:rPr>
                <w:rFonts w:hint="eastAsia" w:ascii="仿宋_GB2312" w:hAnsi="仿宋_GB2312" w:cs="仿宋_GB2312"/>
                <w:b w:val="0"/>
                <w:bCs w:val="0"/>
                <w:color w:val="auto"/>
                <w:kern w:val="2"/>
                <w:sz w:val="28"/>
                <w:szCs w:val="28"/>
                <w:highlight w:val="none"/>
                <w:u w:val="none"/>
                <w:lang w:val="en-US" w:eastAsia="zh-CN" w:bidi="ar-SA"/>
              </w:rPr>
              <w:t>规模化养殖率达80%以上，本地年屠宰达到2000万只，</w:t>
            </w:r>
            <w:r>
              <w:rPr>
                <w:rFonts w:hint="eastAsia" w:ascii="仿宋_GB2312" w:hAnsi="仿宋_GB2312" w:eastAsia="仿宋_GB2312" w:cs="仿宋_GB2312"/>
                <w:color w:val="auto"/>
                <w:sz w:val="28"/>
                <w:szCs w:val="28"/>
                <w:highlight w:val="none"/>
                <w:u w:val="none"/>
                <w:lang w:val="en-US" w:eastAsia="zh-CN"/>
              </w:rPr>
              <w:t>全产业链产值达</w:t>
            </w:r>
            <w:r>
              <w:rPr>
                <w:rFonts w:hint="eastAsia" w:ascii="仿宋_GB2312" w:hAnsi="仿宋_GB2312" w:cs="仿宋_GB2312"/>
                <w:color w:val="auto"/>
                <w:sz w:val="28"/>
                <w:szCs w:val="28"/>
                <w:highlight w:val="none"/>
                <w:u w:val="none"/>
                <w:lang w:val="en-US" w:eastAsia="zh-CN"/>
              </w:rPr>
              <w:t>50</w:t>
            </w:r>
            <w:r>
              <w:rPr>
                <w:rFonts w:hint="eastAsia" w:ascii="仿宋_GB2312" w:hAnsi="仿宋_GB2312" w:eastAsia="仿宋_GB2312" w:cs="仿宋_GB2312"/>
                <w:color w:val="auto"/>
                <w:sz w:val="28"/>
                <w:szCs w:val="28"/>
                <w:highlight w:val="none"/>
                <w:u w:val="none"/>
                <w:lang w:val="en-US" w:eastAsia="zh-CN"/>
              </w:rPr>
              <w:t>亿元以上。</w:t>
            </w:r>
          </w:p>
          <w:p w14:paraId="17F7C485">
            <w:pPr>
              <w:suppressLineNumbers w:val="0"/>
              <w:snapToGrid w:val="0"/>
              <w:spacing w:before="0" w:beforeAutospacing="0" w:after="0" w:afterAutospacing="0" w:line="500" w:lineRule="exact"/>
              <w:ind w:left="0" w:right="0" w:firstLine="560" w:firstLineChars="200"/>
              <w:rPr>
                <w:rFonts w:hint="eastAsia" w:ascii="仿宋_GB2312" w:hAnsi="仿宋_GB2312" w:eastAsia="仿宋_GB2312" w:cs="仿宋_GB2312"/>
                <w:b w:val="0"/>
                <w:bCs w:val="0"/>
                <w:color w:val="auto"/>
                <w:sz w:val="28"/>
                <w:szCs w:val="28"/>
                <w:highlight w:val="none"/>
                <w:u w:val="none"/>
                <w:lang w:val="en-US" w:eastAsia="zh-CN"/>
              </w:rPr>
            </w:pPr>
            <w:r>
              <w:rPr>
                <w:rFonts w:hint="eastAsia" w:ascii="方正楷体_GB2312" w:hAnsi="方正楷体_GB2312" w:eastAsia="方正楷体_GB2312" w:cs="方正楷体_GB2312"/>
                <w:b w:val="0"/>
                <w:bCs w:val="0"/>
                <w:i w:val="0"/>
                <w:iCs w:val="0"/>
                <w:caps w:val="0"/>
                <w:color w:val="auto"/>
                <w:spacing w:val="0"/>
                <w:kern w:val="2"/>
                <w:sz w:val="28"/>
                <w:szCs w:val="28"/>
                <w:highlight w:val="none"/>
                <w:u w:val="none"/>
                <w:shd w:val="clear" w:fill="auto"/>
                <w:vertAlign w:val="baseline"/>
                <w:lang w:val="en-US" w:eastAsia="zh-CN" w:bidi="ar"/>
              </w:rPr>
              <w:t>丝苗米：</w:t>
            </w:r>
            <w:r>
              <w:rPr>
                <w:rFonts w:hint="eastAsia" w:ascii="仿宋_GB2312" w:hAnsi="仿宋_GB2312" w:eastAsia="仿宋_GB2312" w:cs="仿宋_GB2312"/>
                <w:i w:val="0"/>
                <w:iCs w:val="0"/>
                <w:caps w:val="0"/>
                <w:color w:val="auto"/>
                <w:spacing w:val="0"/>
                <w:kern w:val="2"/>
                <w:sz w:val="28"/>
                <w:szCs w:val="28"/>
                <w:highlight w:val="none"/>
                <w:u w:val="none"/>
                <w:shd w:val="clear"/>
                <w:vertAlign w:val="baseline"/>
                <w:lang w:val="en-US" w:eastAsia="zh-CN" w:bidi="ar-SA"/>
              </w:rPr>
              <w:t>积极申报全国水稻单产提升整建制推进县。以黄茅峡水库工程和全域土地综合整治为契机整合零散耕地，打造大湾镇万亩方水稻农业产业园。在浛洸、东华、桥头、白沙、望埠镇等丝苗米种植面积较大的镇村建设集中连片的粮食千亩高产片和百亩超高产攻关田。鼓励开发富硒米、低谷蛋白米、高钙米、米糠油等功能性健康产品，发展自热米饭、婴儿米粉、米饼等休闲食品，研发米酒、米乳等营养健康饮品，推动提升丝苗米产业链附加值。到2030年，力争丝苗米（优质稻）新产品达到10款。</w:t>
            </w:r>
            <w:r>
              <w:rPr>
                <w:rFonts w:hint="eastAsia" w:ascii="仿宋_GB2312" w:hAnsi="仿宋_GB2312" w:eastAsia="仿宋_GB2312" w:cs="仿宋_GB2312"/>
                <w:b w:val="0"/>
                <w:bCs w:val="0"/>
                <w:color w:val="auto"/>
                <w:sz w:val="28"/>
                <w:szCs w:val="28"/>
                <w:highlight w:val="none"/>
                <w:u w:val="none"/>
                <w:lang w:val="en-US" w:eastAsia="zh-CN"/>
              </w:rPr>
              <w:t>全市丝苗米全产业链产值达到16.5亿元，播种面积达到42.7万亩，其中适度规模（连片经营50亩以上）达到4.3万亩以上，产量达到16万吨。</w:t>
            </w:r>
          </w:p>
          <w:p w14:paraId="05E7D5D6">
            <w:pPr>
              <w:keepNext w:val="0"/>
              <w:keepLines w:val="0"/>
              <w:suppressLineNumbers w:val="0"/>
              <w:snapToGrid w:val="0"/>
              <w:spacing w:before="0" w:beforeAutospacing="0" w:after="0" w:afterAutospacing="0" w:line="500" w:lineRule="exact"/>
              <w:ind w:left="0" w:right="0" w:firstLine="562"/>
              <w:rPr>
                <w:rFonts w:hint="eastAsia" w:ascii="仿宋_GB2312" w:hAnsi="仿宋_GB2312" w:cs="仿宋_GB2312"/>
                <w:b w:val="0"/>
                <w:bCs w:val="0"/>
                <w:color w:val="auto"/>
                <w:sz w:val="28"/>
                <w:szCs w:val="28"/>
                <w:highlight w:val="none"/>
                <w:u w:val="none"/>
                <w:lang w:val="en-US" w:eastAsia="zh-CN"/>
              </w:rPr>
            </w:pPr>
            <w:r>
              <w:rPr>
                <w:rFonts w:hint="eastAsia" w:ascii="方正楷体_GB2312" w:hAnsi="方正楷体_GB2312" w:eastAsia="方正楷体_GB2312" w:cs="方正楷体_GB2312"/>
                <w:b w:val="0"/>
                <w:bCs w:val="0"/>
                <w:i w:val="0"/>
                <w:iCs w:val="0"/>
                <w:caps w:val="0"/>
                <w:color w:val="auto"/>
                <w:spacing w:val="0"/>
                <w:kern w:val="2"/>
                <w:sz w:val="28"/>
                <w:szCs w:val="28"/>
                <w:highlight w:val="none"/>
                <w:u w:val="none"/>
                <w:shd w:val="clear" w:fill="auto"/>
                <w:vertAlign w:val="baseline"/>
                <w:lang w:val="en-US" w:eastAsia="zh-CN" w:bidi="ar"/>
              </w:rPr>
              <w:t>肉鸽：</w:t>
            </w:r>
            <w:r>
              <w:rPr>
                <w:rFonts w:hint="eastAsia" w:ascii="宋体" w:hAnsi="宋体" w:cs="仿宋_GB2312"/>
                <w:color w:val="auto"/>
                <w:sz w:val="28"/>
                <w:szCs w:val="28"/>
                <w:highlight w:val="none"/>
                <w:u w:val="none"/>
                <w:lang w:val="en-US" w:eastAsia="zh-CN"/>
              </w:rPr>
              <w:t>推进肉鸽育种场建设，推动</w:t>
            </w:r>
            <w:r>
              <w:rPr>
                <w:rFonts w:hint="eastAsia" w:ascii="仿宋_GB2312" w:hAnsi="仿宋_GB2312" w:cs="仿宋_GB2312"/>
                <w:i w:val="0"/>
                <w:iCs w:val="0"/>
                <w:caps w:val="0"/>
                <w:color w:val="auto"/>
                <w:spacing w:val="0"/>
                <w:sz w:val="28"/>
                <w:szCs w:val="28"/>
                <w:highlight w:val="none"/>
                <w:u w:val="none"/>
                <w:shd w:val="clear"/>
                <w:lang w:val="en-US" w:eastAsia="zh-CN"/>
              </w:rPr>
              <w:t>建设一批</w:t>
            </w:r>
            <w:r>
              <w:rPr>
                <w:rFonts w:hint="eastAsia" w:ascii="仿宋_GB2312" w:hAnsi="宋体" w:eastAsia="仿宋_GB2312" w:cs="仿宋_GB2312"/>
                <w:i w:val="0"/>
                <w:iCs w:val="0"/>
                <w:caps w:val="0"/>
                <w:color w:val="auto"/>
                <w:spacing w:val="0"/>
                <w:sz w:val="28"/>
                <w:szCs w:val="28"/>
                <w:highlight w:val="none"/>
                <w:u w:val="none"/>
                <w:shd w:val="clear" w:fill="FFFFFF"/>
              </w:rPr>
              <w:t>良种繁育</w:t>
            </w:r>
            <w:r>
              <w:rPr>
                <w:rFonts w:hint="eastAsia" w:ascii="仿宋_GB2312" w:hAnsi="宋体" w:cs="仿宋_GB2312"/>
                <w:i w:val="0"/>
                <w:iCs w:val="0"/>
                <w:caps w:val="0"/>
                <w:color w:val="auto"/>
                <w:spacing w:val="0"/>
                <w:sz w:val="28"/>
                <w:szCs w:val="28"/>
                <w:highlight w:val="none"/>
                <w:u w:val="none"/>
                <w:shd w:val="clear" w:fill="FFFFFF"/>
                <w:lang w:val="en-US" w:eastAsia="zh-CN"/>
              </w:rPr>
              <w:t>场。</w:t>
            </w:r>
            <w:r>
              <w:rPr>
                <w:rFonts w:hint="eastAsia" w:ascii="仿宋_GB2312" w:hAnsi="仿宋_GB2312" w:cs="仿宋_GB2312"/>
                <w:b w:val="0"/>
                <w:bCs w:val="0"/>
                <w:color w:val="auto"/>
                <w:sz w:val="28"/>
                <w:szCs w:val="28"/>
                <w:highlight w:val="none"/>
                <w:u w:val="none"/>
                <w:lang w:val="en-US" w:eastAsia="zh-CN"/>
              </w:rPr>
              <w:t>在大洞、青塘、桥头镇等有条件的镇新增一批肉鸽规模养殖场。重点以浛洸、青塘镇为核心打造肉鸽加工集聚区，</w:t>
            </w:r>
            <w:r>
              <w:rPr>
                <w:rFonts w:hint="eastAsia" w:ascii="仿宋_GB2312" w:hAnsi="宋体" w:cs="仿宋_GB2312"/>
                <w:i w:val="0"/>
                <w:iCs w:val="0"/>
                <w:caps w:val="0"/>
                <w:color w:val="auto"/>
                <w:spacing w:val="0"/>
                <w:sz w:val="28"/>
                <w:szCs w:val="28"/>
                <w:highlight w:val="none"/>
                <w:u w:val="none"/>
                <w:shd w:val="clear" w:fill="FFFFFF"/>
                <w:lang w:val="en-US" w:eastAsia="zh-CN"/>
              </w:rPr>
              <w:t>鼓励大型肉鸽养殖企业拓展肉鸽屠宰加工延伸产业链条，拓展开发肉鸽熟食、</w:t>
            </w:r>
            <w:r>
              <w:rPr>
                <w:rFonts w:hint="eastAsia" w:ascii="仿宋_GB2312" w:hAnsi="仿宋_GB2312" w:cs="仿宋_GB2312"/>
                <w:b w:val="0"/>
                <w:bCs w:val="0"/>
                <w:color w:val="auto"/>
                <w:sz w:val="28"/>
                <w:szCs w:val="28"/>
                <w:highlight w:val="none"/>
                <w:u w:val="none"/>
                <w:lang w:val="en-US" w:eastAsia="zh-CN"/>
              </w:rPr>
              <w:t>预制菜等精深加工，加强品牌建设与市场营销，加快推进肉鸽产业链相关标准体系和溯源体系建设。2030年，力争建设1个肉鸽育种场，</w:t>
            </w:r>
            <w:r>
              <w:rPr>
                <w:rFonts w:hint="eastAsia" w:ascii="仿宋_GB2312" w:hAnsi="仿宋_GB2312" w:eastAsia="仿宋_GB2312" w:cs="仿宋_GB2312"/>
                <w:color w:val="auto"/>
                <w:sz w:val="28"/>
                <w:szCs w:val="28"/>
                <w:highlight w:val="none"/>
                <w:u w:val="none"/>
              </w:rPr>
              <w:t>培育1个以上</w:t>
            </w:r>
            <w:r>
              <w:rPr>
                <w:rFonts w:hint="eastAsia" w:ascii="仿宋_GB2312" w:hAnsi="仿宋_GB2312" w:eastAsia="仿宋_GB2312" w:cs="仿宋_GB2312"/>
                <w:color w:val="auto"/>
                <w:sz w:val="28"/>
                <w:szCs w:val="28"/>
                <w:highlight w:val="none"/>
                <w:u w:val="none"/>
                <w:lang w:val="en-US" w:eastAsia="zh-CN"/>
              </w:rPr>
              <w:t>肉鸽</w:t>
            </w:r>
            <w:r>
              <w:rPr>
                <w:rFonts w:hint="eastAsia" w:ascii="仿宋_GB2312" w:hAnsi="仿宋_GB2312" w:eastAsia="仿宋_GB2312" w:cs="仿宋_GB2312"/>
                <w:color w:val="auto"/>
                <w:sz w:val="28"/>
                <w:szCs w:val="28"/>
                <w:highlight w:val="none"/>
                <w:u w:val="none"/>
              </w:rPr>
              <w:t>新品种</w:t>
            </w:r>
            <w:r>
              <w:rPr>
                <w:rFonts w:hint="eastAsia" w:ascii="仿宋_GB2312" w:hAnsi="仿宋_GB2312" w:eastAsia="仿宋_GB2312" w:cs="仿宋_GB2312"/>
                <w:color w:val="auto"/>
                <w:sz w:val="28"/>
                <w:szCs w:val="28"/>
                <w:highlight w:val="none"/>
                <w:u w:val="none"/>
                <w:lang w:eastAsia="zh-CN"/>
              </w:rPr>
              <w:t>，</w:t>
            </w:r>
            <w:r>
              <w:rPr>
                <w:rFonts w:hint="eastAsia" w:ascii="仿宋_GB2312" w:hAnsi="仿宋_GB2312" w:eastAsia="仿宋_GB2312" w:cs="仿宋_GB2312"/>
                <w:b w:val="0"/>
                <w:bCs w:val="0"/>
                <w:color w:val="auto"/>
                <w:sz w:val="28"/>
                <w:szCs w:val="28"/>
                <w:highlight w:val="none"/>
                <w:u w:val="none"/>
                <w:lang w:val="en-US" w:eastAsia="zh-CN"/>
              </w:rPr>
              <w:t>初步建立</w:t>
            </w:r>
            <w:r>
              <w:rPr>
                <w:rFonts w:hint="eastAsia" w:ascii="仿宋_GB2312" w:hAnsi="仿宋_GB2312" w:cs="仿宋_GB2312"/>
                <w:b w:val="0"/>
                <w:bCs w:val="0"/>
                <w:color w:val="auto"/>
                <w:sz w:val="28"/>
                <w:szCs w:val="28"/>
                <w:highlight w:val="none"/>
                <w:u w:val="none"/>
                <w:lang w:val="en-US" w:eastAsia="zh-CN"/>
              </w:rPr>
              <w:t>肉</w:t>
            </w:r>
            <w:r>
              <w:rPr>
                <w:rFonts w:hint="eastAsia" w:ascii="仿宋_GB2312" w:hAnsi="仿宋_GB2312" w:eastAsia="仿宋_GB2312" w:cs="仿宋_GB2312"/>
                <w:b w:val="0"/>
                <w:bCs w:val="0"/>
                <w:color w:val="auto"/>
                <w:sz w:val="28"/>
                <w:szCs w:val="28"/>
                <w:highlight w:val="none"/>
                <w:u w:val="none"/>
                <w:lang w:val="en-US" w:eastAsia="zh-CN"/>
              </w:rPr>
              <w:t>鸽</w:t>
            </w:r>
            <w:r>
              <w:rPr>
                <w:rFonts w:hint="eastAsia" w:ascii="仿宋_GB2312" w:hAnsi="仿宋_GB2312" w:cs="仿宋_GB2312"/>
                <w:b w:val="0"/>
                <w:bCs w:val="0"/>
                <w:color w:val="auto"/>
                <w:sz w:val="28"/>
                <w:szCs w:val="28"/>
                <w:highlight w:val="none"/>
                <w:u w:val="none"/>
                <w:lang w:val="en-US" w:eastAsia="zh-CN"/>
              </w:rPr>
              <w:t>全产业链标准体系，</w:t>
            </w:r>
            <w:r>
              <w:rPr>
                <w:rFonts w:hint="default" w:ascii="仿宋_GB2312" w:hAnsi="仿宋_GB2312" w:cs="仿宋_GB2312"/>
                <w:b w:val="0"/>
                <w:bCs w:val="0"/>
                <w:color w:val="auto"/>
                <w:sz w:val="28"/>
                <w:szCs w:val="28"/>
                <w:highlight w:val="none"/>
                <w:u w:val="none"/>
                <w:lang w:val="en-US" w:eastAsia="zh-CN"/>
              </w:rPr>
              <w:t>建设</w:t>
            </w:r>
            <w:r>
              <w:rPr>
                <w:rFonts w:hint="eastAsia" w:ascii="仿宋_GB2312" w:hAnsi="仿宋_GB2312" w:cs="仿宋_GB2312"/>
                <w:b w:val="0"/>
                <w:bCs w:val="0"/>
                <w:color w:val="auto"/>
                <w:sz w:val="28"/>
                <w:szCs w:val="28"/>
                <w:highlight w:val="none"/>
                <w:u w:val="none"/>
                <w:lang w:val="en-US" w:eastAsia="zh-CN"/>
              </w:rPr>
              <w:t>5个以上肉鸽</w:t>
            </w:r>
            <w:r>
              <w:rPr>
                <w:rFonts w:hint="eastAsia" w:ascii="仿宋_GB2312" w:hAnsi="宋体" w:eastAsia="仿宋_GB2312" w:cs="仿宋_GB2312"/>
                <w:i w:val="0"/>
                <w:iCs w:val="0"/>
                <w:caps w:val="0"/>
                <w:color w:val="auto"/>
                <w:spacing w:val="0"/>
                <w:sz w:val="28"/>
                <w:szCs w:val="28"/>
                <w:highlight w:val="none"/>
                <w:u w:val="none"/>
                <w:shd w:val="clear" w:fill="FFFFFF"/>
              </w:rPr>
              <w:t>标准化</w:t>
            </w:r>
            <w:r>
              <w:rPr>
                <w:rFonts w:hint="eastAsia" w:ascii="仿宋_GB2312" w:hAnsi="宋体" w:cs="仿宋_GB2312"/>
                <w:i w:val="0"/>
                <w:iCs w:val="0"/>
                <w:caps w:val="0"/>
                <w:color w:val="auto"/>
                <w:spacing w:val="0"/>
                <w:sz w:val="28"/>
                <w:szCs w:val="28"/>
                <w:highlight w:val="none"/>
                <w:u w:val="none"/>
                <w:shd w:val="clear" w:fill="FFFFFF"/>
                <w:lang w:val="en-US" w:eastAsia="zh-CN"/>
              </w:rPr>
              <w:t>养殖</w:t>
            </w:r>
            <w:r>
              <w:rPr>
                <w:rFonts w:hint="default" w:ascii="仿宋_GB2312" w:hAnsi="仿宋_GB2312" w:cs="仿宋_GB2312"/>
                <w:b w:val="0"/>
                <w:bCs w:val="0"/>
                <w:color w:val="auto"/>
                <w:sz w:val="28"/>
                <w:szCs w:val="28"/>
                <w:highlight w:val="none"/>
                <w:u w:val="none"/>
                <w:lang w:val="en-US" w:eastAsia="zh-CN"/>
              </w:rPr>
              <w:t>小区</w:t>
            </w:r>
            <w:r>
              <w:rPr>
                <w:rFonts w:hint="eastAsia" w:ascii="仿宋_GB2312" w:hAnsi="仿宋_GB2312" w:cs="仿宋_GB2312"/>
                <w:b w:val="0"/>
                <w:bCs w:val="0"/>
                <w:color w:val="auto"/>
                <w:sz w:val="28"/>
                <w:szCs w:val="28"/>
                <w:highlight w:val="none"/>
                <w:u w:val="none"/>
                <w:lang w:val="en-US" w:eastAsia="zh-CN"/>
              </w:rPr>
              <w:t>。力争种鸽存栏450万对，全市年出栏肉鸽1.2亿羽以上，全产业链产值达50亿元以上。</w:t>
            </w:r>
          </w:p>
          <w:p w14:paraId="18ACB698">
            <w:pPr>
              <w:keepNext w:val="0"/>
              <w:keepLines w:val="0"/>
              <w:suppressLineNumbers w:val="0"/>
              <w:snapToGrid w:val="0"/>
              <w:spacing w:before="0" w:beforeAutospacing="0" w:after="0" w:afterAutospacing="0" w:line="500" w:lineRule="exact"/>
              <w:ind w:left="0" w:right="0" w:firstLine="562"/>
              <w:rPr>
                <w:rFonts w:hint="eastAsia" w:ascii="仿宋_GB2312" w:hAnsi="仿宋_GB2312" w:eastAsia="仿宋_GB2312" w:cs="仿宋_GB2312"/>
                <w:b w:val="0"/>
                <w:bCs w:val="0"/>
                <w:color w:val="auto"/>
                <w:sz w:val="28"/>
                <w:szCs w:val="28"/>
                <w:highlight w:val="none"/>
                <w:u w:val="none"/>
                <w:lang w:val="en-US" w:eastAsia="zh-CN"/>
              </w:rPr>
            </w:pPr>
            <w:r>
              <w:rPr>
                <w:rFonts w:hint="eastAsia" w:ascii="方正楷体_GB2312" w:hAnsi="方正楷体_GB2312" w:eastAsia="方正楷体_GB2312" w:cs="方正楷体_GB2312"/>
                <w:b w:val="0"/>
                <w:bCs w:val="0"/>
                <w:i w:val="0"/>
                <w:iCs w:val="0"/>
                <w:caps w:val="0"/>
                <w:color w:val="auto"/>
                <w:spacing w:val="0"/>
                <w:kern w:val="2"/>
                <w:sz w:val="28"/>
                <w:szCs w:val="28"/>
                <w:highlight w:val="none"/>
                <w:u w:val="none"/>
                <w:shd w:val="clear" w:fill="auto"/>
                <w:vertAlign w:val="baseline"/>
                <w:lang w:val="en-US" w:eastAsia="zh-CN" w:bidi="ar"/>
              </w:rPr>
              <w:t>生猪：</w:t>
            </w:r>
            <w:r>
              <w:rPr>
                <w:rFonts w:hint="eastAsia" w:ascii="仿宋_GB2312" w:hAnsi="仿宋_GB2312" w:eastAsia="仿宋_GB2312" w:cs="仿宋_GB2312"/>
                <w:b w:val="0"/>
                <w:bCs w:val="0"/>
                <w:color w:val="auto"/>
                <w:sz w:val="28"/>
                <w:szCs w:val="28"/>
                <w:highlight w:val="none"/>
                <w:u w:val="none"/>
                <w:lang w:val="en-US" w:eastAsia="zh-CN"/>
              </w:rPr>
              <w:t>引导企业在下</w:t>
            </w:r>
            <w:r>
              <w:rPr>
                <w:rFonts w:hint="eastAsia" w:ascii="仿宋_GB2312" w:hAnsi="仿宋_GB2312" w:cs="仿宋_GB2312"/>
                <w:b w:val="0"/>
                <w:bCs w:val="0"/>
                <w:color w:val="auto"/>
                <w:spacing w:val="1"/>
                <w:w w:val="74"/>
                <w:kern w:val="0"/>
                <w:sz w:val="28"/>
                <w:szCs w:val="28"/>
                <w:highlight w:val="none"/>
                <w:u w:val="none"/>
                <w:fitText w:val="416" w:id="350759912"/>
                <w:lang w:val="en-US" w:eastAsia="zh-CN"/>
              </w:rPr>
              <w:t>石太</w:t>
            </w:r>
            <w:r>
              <w:rPr>
                <w:rFonts w:hint="eastAsia" w:ascii="仿宋_GB2312" w:hAnsi="仿宋_GB2312" w:eastAsia="仿宋_GB2312" w:cs="仿宋_GB2312"/>
                <w:b w:val="0"/>
                <w:bCs w:val="0"/>
                <w:color w:val="auto"/>
                <w:sz w:val="28"/>
                <w:szCs w:val="28"/>
                <w:highlight w:val="none"/>
                <w:u w:val="none"/>
                <w:lang w:val="en-US" w:eastAsia="zh-CN"/>
              </w:rPr>
              <w:t>镇等有条件的镇</w:t>
            </w:r>
            <w:r>
              <w:rPr>
                <w:rFonts w:hint="eastAsia" w:ascii="仿宋_GB2312" w:hAnsi="仿宋_GB2312" w:cs="仿宋_GB2312"/>
                <w:b w:val="0"/>
                <w:bCs w:val="0"/>
                <w:color w:val="auto"/>
                <w:sz w:val="28"/>
                <w:szCs w:val="28"/>
                <w:highlight w:val="none"/>
                <w:u w:val="none"/>
                <w:lang w:val="en-US" w:eastAsia="zh-CN"/>
              </w:rPr>
              <w:t>建设</w:t>
            </w:r>
            <w:r>
              <w:rPr>
                <w:rFonts w:hint="eastAsia" w:ascii="仿宋_GB2312" w:hAnsi="仿宋_GB2312" w:eastAsia="仿宋_GB2312" w:cs="仿宋_GB2312"/>
                <w:b w:val="0"/>
                <w:bCs w:val="0"/>
                <w:color w:val="auto"/>
                <w:sz w:val="28"/>
                <w:szCs w:val="28"/>
                <w:highlight w:val="none"/>
                <w:u w:val="none"/>
                <w:lang w:val="en-US" w:eastAsia="zh-CN"/>
              </w:rPr>
              <w:t>标准化养殖小区</w:t>
            </w:r>
            <w:r>
              <w:rPr>
                <w:rFonts w:hint="eastAsia" w:ascii="仿宋_GB2312" w:hAnsi="仿宋_GB2312" w:cs="仿宋_GB2312"/>
                <w:b w:val="0"/>
                <w:bCs w:val="0"/>
                <w:color w:val="auto"/>
                <w:sz w:val="28"/>
                <w:szCs w:val="28"/>
                <w:highlight w:val="none"/>
                <w:u w:val="none"/>
                <w:lang w:val="en-US" w:eastAsia="zh-CN"/>
              </w:rPr>
              <w:t>。加大肉制品加工企业招商引资力度，鼓励</w:t>
            </w:r>
            <w:r>
              <w:rPr>
                <w:rFonts w:hint="eastAsia" w:ascii="仿宋_GB2312" w:hAnsi="仿宋_GB2312" w:eastAsia="仿宋_GB2312" w:cs="仿宋_GB2312"/>
                <w:b w:val="0"/>
                <w:bCs w:val="0"/>
                <w:color w:val="auto"/>
                <w:sz w:val="28"/>
                <w:szCs w:val="28"/>
                <w:highlight w:val="none"/>
                <w:u w:val="none"/>
                <w:lang w:val="en-US" w:eastAsia="zh-CN"/>
              </w:rPr>
              <w:t>大型养殖企业集成先进养殖技术与设施设备，配套发展饲料、屠宰和肉类加工</w:t>
            </w:r>
            <w:r>
              <w:rPr>
                <w:rFonts w:hint="eastAsia" w:ascii="仿宋_GB2312" w:hAnsi="仿宋_GB2312" w:cs="仿宋_GB2312"/>
                <w:b w:val="0"/>
                <w:bCs w:val="0"/>
                <w:color w:val="auto"/>
                <w:sz w:val="28"/>
                <w:szCs w:val="28"/>
                <w:highlight w:val="none"/>
                <w:u w:val="none"/>
                <w:lang w:val="en-US" w:eastAsia="zh-CN"/>
              </w:rPr>
              <w:t>。</w:t>
            </w:r>
            <w:r>
              <w:rPr>
                <w:rFonts w:hint="eastAsia" w:ascii="仿宋_GB2312" w:hAnsi="仿宋_GB2312" w:eastAsia="仿宋_GB2312" w:cs="仿宋_GB2312"/>
                <w:b w:val="0"/>
                <w:bCs w:val="0"/>
                <w:color w:val="auto"/>
                <w:sz w:val="28"/>
                <w:szCs w:val="28"/>
                <w:highlight w:val="none"/>
                <w:u w:val="none"/>
                <w:lang w:val="en-US" w:eastAsia="zh-CN"/>
              </w:rPr>
              <w:t>鼓励发展冷链配送肉品销售点</w:t>
            </w:r>
            <w:r>
              <w:rPr>
                <w:rFonts w:hint="eastAsia" w:ascii="仿宋_GB2312" w:hAnsi="仿宋_GB2312" w:eastAsia="仿宋_GB2312" w:cs="仿宋_GB2312"/>
                <w:b w:val="0"/>
                <w:bCs w:val="0"/>
                <w:color w:val="auto"/>
                <w:kern w:val="2"/>
                <w:sz w:val="28"/>
                <w:szCs w:val="28"/>
                <w:highlight w:val="none"/>
                <w:u w:val="none"/>
                <w:lang w:val="en-US" w:eastAsia="zh-CN" w:bidi="ar-SA"/>
              </w:rPr>
              <w:t>。到2030年，力争创建生猪标准化养殖基地50家以上，培育1家生猪屠宰领军企业。规模养殖场实施养殖“减抗”行动比例达到65%以上。</w:t>
            </w:r>
            <w:r>
              <w:rPr>
                <w:rFonts w:hint="eastAsia" w:ascii="仿宋_GB2312" w:hAnsi="仿宋_GB2312" w:eastAsia="仿宋_GB2312" w:cs="仿宋_GB2312"/>
                <w:b w:val="0"/>
                <w:bCs w:val="0"/>
                <w:color w:val="auto"/>
                <w:sz w:val="28"/>
                <w:szCs w:val="28"/>
                <w:highlight w:val="none"/>
                <w:u w:val="none"/>
                <w:lang w:val="en-US" w:eastAsia="zh-CN"/>
              </w:rPr>
              <w:t>确保</w:t>
            </w:r>
            <w:r>
              <w:rPr>
                <w:rFonts w:hint="eastAsia" w:ascii="仿宋_GB2312" w:hAnsi="仿宋_GB2312" w:cs="仿宋_GB2312"/>
                <w:b w:val="0"/>
                <w:bCs w:val="0"/>
                <w:color w:val="auto"/>
                <w:sz w:val="28"/>
                <w:szCs w:val="28"/>
                <w:highlight w:val="none"/>
                <w:u w:val="none"/>
                <w:lang w:val="en-US" w:eastAsia="zh-CN"/>
              </w:rPr>
              <w:t>完成上级下达</w:t>
            </w:r>
            <w:r>
              <w:rPr>
                <w:rFonts w:hint="eastAsia" w:ascii="仿宋_GB2312" w:hAnsi="仿宋_GB2312" w:eastAsia="仿宋_GB2312" w:cs="仿宋_GB2312"/>
                <w:b w:val="0"/>
                <w:bCs w:val="0"/>
                <w:color w:val="auto"/>
                <w:sz w:val="28"/>
                <w:szCs w:val="28"/>
                <w:highlight w:val="none"/>
                <w:u w:val="none"/>
                <w:lang w:eastAsia="zh-CN"/>
              </w:rPr>
              <w:t>能繁母猪保有量</w:t>
            </w:r>
            <w:r>
              <w:rPr>
                <w:rFonts w:hint="eastAsia" w:ascii="仿宋_GB2312" w:hAnsi="仿宋_GB2312" w:cs="仿宋_GB2312"/>
                <w:b w:val="0"/>
                <w:bCs w:val="0"/>
                <w:color w:val="auto"/>
                <w:sz w:val="28"/>
                <w:szCs w:val="28"/>
                <w:highlight w:val="none"/>
                <w:u w:val="none"/>
                <w:lang w:val="en-US" w:eastAsia="zh-CN"/>
              </w:rPr>
              <w:t>任务</w:t>
            </w:r>
            <w:r>
              <w:rPr>
                <w:rFonts w:hint="eastAsia" w:ascii="仿宋_GB2312" w:hAnsi="仿宋_GB2312" w:eastAsia="仿宋_GB2312" w:cs="仿宋_GB2312"/>
                <w:b w:val="0"/>
                <w:bCs w:val="0"/>
                <w:color w:val="auto"/>
                <w:sz w:val="28"/>
                <w:szCs w:val="28"/>
                <w:highlight w:val="none"/>
                <w:u w:val="none"/>
                <w:lang w:eastAsia="zh-CN"/>
              </w:rPr>
              <w:t>，</w:t>
            </w:r>
            <w:r>
              <w:rPr>
                <w:rFonts w:hint="eastAsia" w:ascii="仿宋_GB2312" w:hAnsi="仿宋_GB2312" w:eastAsia="仿宋_GB2312" w:cs="仿宋_GB2312"/>
                <w:b w:val="0"/>
                <w:bCs w:val="0"/>
                <w:color w:val="auto"/>
                <w:sz w:val="28"/>
                <w:szCs w:val="28"/>
                <w:highlight w:val="none"/>
                <w:u w:val="none"/>
                <w:lang w:val="en-US" w:eastAsia="zh-CN"/>
              </w:rPr>
              <w:t>年出栏</w:t>
            </w:r>
            <w:r>
              <w:rPr>
                <w:rFonts w:hint="eastAsia" w:ascii="仿宋_GB2312" w:hAnsi="仿宋_GB2312" w:cs="仿宋_GB2312"/>
                <w:b w:val="0"/>
                <w:bCs w:val="0"/>
                <w:color w:val="auto"/>
                <w:sz w:val="28"/>
                <w:szCs w:val="28"/>
                <w:highlight w:val="none"/>
                <w:u w:val="none"/>
                <w:lang w:val="en-US" w:eastAsia="zh-CN"/>
              </w:rPr>
              <w:t>量稳定在2</w:t>
            </w:r>
            <w:r>
              <w:rPr>
                <w:rFonts w:hint="eastAsia" w:ascii="仿宋_GB2312" w:hAnsi="仿宋_GB2312" w:eastAsia="仿宋_GB2312" w:cs="仿宋_GB2312"/>
                <w:b w:val="0"/>
                <w:bCs w:val="0"/>
                <w:color w:val="auto"/>
                <w:sz w:val="28"/>
                <w:szCs w:val="28"/>
                <w:highlight w:val="none"/>
                <w:u w:val="none"/>
                <w:lang w:val="en-US" w:eastAsia="zh-CN"/>
              </w:rPr>
              <w:t>00万头</w:t>
            </w:r>
            <w:r>
              <w:rPr>
                <w:rFonts w:hint="eastAsia" w:ascii="仿宋_GB2312" w:hAnsi="仿宋_GB2312" w:cs="仿宋_GB2312"/>
                <w:b w:val="0"/>
                <w:bCs w:val="0"/>
                <w:color w:val="auto"/>
                <w:sz w:val="28"/>
                <w:szCs w:val="28"/>
                <w:highlight w:val="none"/>
                <w:u w:val="none"/>
                <w:lang w:val="en-US" w:eastAsia="zh-CN"/>
              </w:rPr>
              <w:t>以上</w:t>
            </w:r>
            <w:r>
              <w:rPr>
                <w:rFonts w:hint="eastAsia" w:ascii="仿宋_GB2312" w:hAnsi="仿宋_GB2312" w:eastAsia="仿宋_GB2312" w:cs="仿宋_GB2312"/>
                <w:b w:val="0"/>
                <w:bCs w:val="0"/>
                <w:color w:val="auto"/>
                <w:sz w:val="28"/>
                <w:szCs w:val="28"/>
                <w:highlight w:val="none"/>
                <w:u w:val="none"/>
                <w:lang w:val="en-US" w:eastAsia="zh-CN"/>
              </w:rPr>
              <w:t>，</w:t>
            </w:r>
            <w:r>
              <w:rPr>
                <w:rFonts w:hint="eastAsia" w:ascii="仿宋_GB2312" w:hAnsi="仿宋_GB2312" w:cs="仿宋_GB2312"/>
                <w:b w:val="0"/>
                <w:bCs w:val="0"/>
                <w:color w:val="auto"/>
                <w:sz w:val="28"/>
                <w:szCs w:val="28"/>
                <w:highlight w:val="none"/>
                <w:u w:val="none"/>
                <w:lang w:val="en-US" w:eastAsia="zh-CN"/>
              </w:rPr>
              <w:t>力争</w:t>
            </w:r>
            <w:r>
              <w:rPr>
                <w:rFonts w:hint="eastAsia" w:ascii="仿宋_GB2312" w:hAnsi="仿宋_GB2312" w:eastAsia="仿宋_GB2312" w:cs="仿宋_GB2312"/>
                <w:b w:val="0"/>
                <w:bCs w:val="0"/>
                <w:color w:val="auto"/>
                <w:sz w:val="28"/>
                <w:szCs w:val="28"/>
                <w:highlight w:val="none"/>
                <w:u w:val="none"/>
                <w:lang w:val="en-US" w:eastAsia="zh-CN"/>
              </w:rPr>
              <w:t>全产业链产值达</w:t>
            </w:r>
            <w:r>
              <w:rPr>
                <w:rFonts w:hint="eastAsia" w:ascii="仿宋_GB2312" w:hAnsi="仿宋_GB2312" w:cs="仿宋_GB2312"/>
                <w:b w:val="0"/>
                <w:bCs w:val="0"/>
                <w:color w:val="auto"/>
                <w:sz w:val="28"/>
                <w:szCs w:val="28"/>
                <w:highlight w:val="none"/>
                <w:u w:val="none"/>
                <w:lang w:val="en-US" w:eastAsia="zh-CN"/>
              </w:rPr>
              <w:t>75</w:t>
            </w:r>
            <w:r>
              <w:rPr>
                <w:rFonts w:hint="eastAsia" w:ascii="仿宋_GB2312" w:hAnsi="仿宋_GB2312" w:eastAsia="仿宋_GB2312" w:cs="仿宋_GB2312"/>
                <w:b w:val="0"/>
                <w:bCs w:val="0"/>
                <w:color w:val="auto"/>
                <w:sz w:val="28"/>
                <w:szCs w:val="28"/>
                <w:highlight w:val="none"/>
                <w:u w:val="none"/>
                <w:lang w:val="en-US" w:eastAsia="zh-CN"/>
              </w:rPr>
              <w:t>亿元。</w:t>
            </w:r>
          </w:p>
          <w:p w14:paraId="1ECFFA57">
            <w:pPr>
              <w:keepNext w:val="0"/>
              <w:keepLines w:val="0"/>
              <w:suppressLineNumbers w:val="0"/>
              <w:snapToGrid w:val="0"/>
              <w:spacing w:before="0" w:beforeAutospacing="0" w:after="0" w:afterAutospacing="0" w:line="500" w:lineRule="exact"/>
              <w:ind w:left="0" w:right="0" w:firstLine="562"/>
              <w:rPr>
                <w:rFonts w:hint="eastAsia" w:ascii="仿宋_GB2312" w:hAnsi="仿宋_GB2312" w:cs="仿宋_GB2312"/>
                <w:color w:val="auto"/>
                <w:sz w:val="28"/>
                <w:szCs w:val="28"/>
                <w:highlight w:val="none"/>
                <w:u w:val="none"/>
                <w:lang w:val="en-US" w:eastAsia="zh-CN"/>
              </w:rPr>
            </w:pPr>
            <w:r>
              <w:rPr>
                <w:rFonts w:hint="eastAsia" w:ascii="方正楷体_GB2312" w:hAnsi="方正楷体_GB2312" w:eastAsia="方正楷体_GB2312" w:cs="方正楷体_GB2312"/>
                <w:b w:val="0"/>
                <w:bCs w:val="0"/>
                <w:i w:val="0"/>
                <w:iCs w:val="0"/>
                <w:caps w:val="0"/>
                <w:color w:val="auto"/>
                <w:spacing w:val="0"/>
                <w:kern w:val="2"/>
                <w:sz w:val="28"/>
                <w:szCs w:val="28"/>
                <w:highlight w:val="none"/>
                <w:u w:val="none"/>
                <w:shd w:val="clear" w:fill="auto"/>
                <w:vertAlign w:val="baseline"/>
                <w:lang w:val="en-US" w:eastAsia="zh-CN" w:bidi="ar"/>
              </w:rPr>
              <w:t>特色产业：</w:t>
            </w:r>
            <w:r>
              <w:rPr>
                <w:rFonts w:hint="eastAsia" w:ascii="仿宋_GB2312" w:hAnsi="宋体" w:eastAsia="仿宋_GB2312" w:cs="仿宋_GB2312"/>
                <w:i w:val="0"/>
                <w:iCs w:val="0"/>
                <w:caps w:val="0"/>
                <w:color w:val="auto"/>
                <w:spacing w:val="0"/>
                <w:kern w:val="0"/>
                <w:sz w:val="28"/>
                <w:szCs w:val="28"/>
                <w:highlight w:val="none"/>
                <w:u w:val="none"/>
                <w:shd w:val="clear"/>
                <w:vertAlign w:val="baseline"/>
                <w:lang w:val="en-US" w:eastAsia="zh-CN" w:bidi="ar"/>
              </w:rPr>
              <w:t>改造大</w:t>
            </w:r>
            <w:r>
              <w:rPr>
                <w:rFonts w:hint="eastAsia" w:ascii="仿宋_GB2312" w:hAnsi="宋体" w:eastAsia="仿宋_GB2312" w:cs="仿宋_GB2312"/>
                <w:i w:val="0"/>
                <w:iCs w:val="0"/>
                <w:caps w:val="0"/>
                <w:color w:val="auto"/>
                <w:spacing w:val="0"/>
                <w:kern w:val="0"/>
                <w:sz w:val="28"/>
                <w:szCs w:val="28"/>
                <w:highlight w:val="none"/>
                <w:u w:val="none"/>
                <w:shd w:val="clear"/>
                <w:lang w:val="en-US" w:eastAsia="zh-CN" w:bidi="ar"/>
              </w:rPr>
              <w:t>龙镇豆制品产业园</w:t>
            </w:r>
            <w:r>
              <w:rPr>
                <w:rFonts w:hint="eastAsia" w:ascii="仿宋_GB2312" w:hAnsi="宋体" w:cs="仿宋_GB2312"/>
                <w:i w:val="0"/>
                <w:iCs w:val="0"/>
                <w:caps w:val="0"/>
                <w:color w:val="auto"/>
                <w:spacing w:val="0"/>
                <w:kern w:val="0"/>
                <w:sz w:val="28"/>
                <w:szCs w:val="28"/>
                <w:highlight w:val="none"/>
                <w:u w:val="none"/>
                <w:shd w:val="clear"/>
                <w:lang w:val="en-US" w:eastAsia="zh-CN" w:bidi="ar"/>
              </w:rPr>
              <w:t>，</w:t>
            </w:r>
            <w:r>
              <w:rPr>
                <w:rFonts w:hint="eastAsia" w:ascii="仿宋_GB2312" w:hAnsi="宋体" w:eastAsia="仿宋_GB2312" w:cs="仿宋_GB2312"/>
                <w:b w:val="0"/>
                <w:bCs w:val="0"/>
                <w:color w:val="auto"/>
                <w:kern w:val="0"/>
                <w:sz w:val="28"/>
                <w:szCs w:val="28"/>
                <w:highlight w:val="none"/>
                <w:u w:val="none"/>
                <w:lang w:val="en-US" w:eastAsia="zh-CN" w:bidi="ar"/>
              </w:rPr>
              <w:t>建设</w:t>
            </w:r>
            <w:r>
              <w:rPr>
                <w:rFonts w:hint="eastAsia" w:ascii="仿宋_GB2312" w:hAnsi="宋体" w:cs="仿宋_GB2312"/>
                <w:b w:val="0"/>
                <w:bCs w:val="0"/>
                <w:color w:val="auto"/>
                <w:kern w:val="0"/>
                <w:sz w:val="28"/>
                <w:szCs w:val="28"/>
                <w:highlight w:val="none"/>
                <w:u w:val="none"/>
                <w:lang w:val="en-US" w:eastAsia="zh-CN" w:bidi="ar"/>
              </w:rPr>
              <w:t>大豆</w:t>
            </w:r>
            <w:r>
              <w:rPr>
                <w:rFonts w:hint="eastAsia" w:ascii="仿宋_GB2312" w:hAnsi="宋体" w:eastAsia="仿宋_GB2312" w:cs="仿宋_GB2312"/>
                <w:b w:val="0"/>
                <w:bCs w:val="0"/>
                <w:color w:val="auto"/>
                <w:kern w:val="0"/>
                <w:sz w:val="28"/>
                <w:szCs w:val="28"/>
                <w:highlight w:val="none"/>
                <w:u w:val="none"/>
                <w:lang w:val="en-US" w:eastAsia="zh-CN" w:bidi="ar"/>
              </w:rPr>
              <w:t>加工车间</w:t>
            </w:r>
            <w:r>
              <w:rPr>
                <w:rFonts w:hint="eastAsia" w:ascii="仿宋_GB2312" w:hAnsi="宋体" w:cs="仿宋_GB2312"/>
                <w:b w:val="0"/>
                <w:bCs w:val="0"/>
                <w:color w:val="auto"/>
                <w:kern w:val="0"/>
                <w:sz w:val="28"/>
                <w:szCs w:val="28"/>
                <w:highlight w:val="none"/>
                <w:u w:val="none"/>
                <w:lang w:val="en-US" w:eastAsia="zh-CN" w:bidi="ar"/>
              </w:rPr>
              <w:t>。推动肉牛规模化养殖，</w:t>
            </w:r>
            <w:r>
              <w:rPr>
                <w:rFonts w:hint="eastAsia" w:ascii="仿宋_GB2312" w:hAnsi="仿宋_GB2312" w:cs="仿宋_GB2312"/>
                <w:b w:val="0"/>
                <w:bCs w:val="0"/>
                <w:color w:val="auto"/>
                <w:kern w:val="0"/>
                <w:sz w:val="28"/>
                <w:szCs w:val="28"/>
                <w:highlight w:val="none"/>
                <w:u w:val="none"/>
                <w:lang w:val="en-US" w:eastAsia="zh-CN" w:bidi="ar"/>
              </w:rPr>
              <w:t>建设石灰铺镇肉牛屠宰场，提高肉牛屠宰加工能力。推进桑芽菜、桑果、丝绸等深加工，</w:t>
            </w:r>
            <w:r>
              <w:rPr>
                <w:rFonts w:hint="eastAsia" w:ascii="仿宋_GB2312" w:hAnsi="仿宋_GB2312" w:eastAsia="仿宋_GB2312" w:cs="仿宋_GB2312"/>
                <w:i w:val="0"/>
                <w:iCs w:val="0"/>
                <w:caps w:val="0"/>
                <w:snapToGrid w:val="0"/>
                <w:color w:val="auto"/>
                <w:spacing w:val="0"/>
                <w:kern w:val="0"/>
                <w:sz w:val="28"/>
                <w:szCs w:val="28"/>
                <w:highlight w:val="none"/>
                <w:u w:val="none"/>
                <w:shd w:val="clear" w:fill="auto"/>
              </w:rPr>
              <w:t>在大湾</w:t>
            </w:r>
            <w:r>
              <w:rPr>
                <w:rFonts w:hint="eastAsia" w:ascii="仿宋_GB2312" w:hAnsi="仿宋_GB2312" w:eastAsia="仿宋_GB2312" w:cs="仿宋_GB2312"/>
                <w:i w:val="0"/>
                <w:iCs w:val="0"/>
                <w:caps w:val="0"/>
                <w:snapToGrid w:val="0"/>
                <w:color w:val="auto"/>
                <w:spacing w:val="0"/>
                <w:kern w:val="0"/>
                <w:sz w:val="28"/>
                <w:szCs w:val="28"/>
                <w:highlight w:val="none"/>
                <w:u w:val="none"/>
                <w:shd w:val="clear" w:fill="auto"/>
                <w:lang w:eastAsia="zh-CN"/>
              </w:rPr>
              <w:t>、</w:t>
            </w:r>
            <w:r>
              <w:rPr>
                <w:rFonts w:hint="eastAsia" w:ascii="仿宋_GB2312" w:hAnsi="仿宋_GB2312" w:eastAsia="仿宋_GB2312" w:cs="仿宋_GB2312"/>
                <w:i w:val="0"/>
                <w:iCs w:val="0"/>
                <w:caps w:val="0"/>
                <w:snapToGrid w:val="0"/>
                <w:color w:val="auto"/>
                <w:spacing w:val="0"/>
                <w:kern w:val="0"/>
                <w:sz w:val="28"/>
                <w:szCs w:val="28"/>
                <w:highlight w:val="none"/>
                <w:u w:val="none"/>
                <w:shd w:val="clear" w:fill="auto"/>
                <w:lang w:val="en-US" w:eastAsia="zh-CN"/>
              </w:rPr>
              <w:t>石牯塘等镇</w:t>
            </w:r>
            <w:r>
              <w:rPr>
                <w:rFonts w:hint="eastAsia" w:ascii="仿宋_GB2312" w:hAnsi="仿宋_GB2312" w:eastAsia="仿宋_GB2312" w:cs="仿宋_GB2312"/>
                <w:i w:val="0"/>
                <w:iCs w:val="0"/>
                <w:caps w:val="0"/>
                <w:snapToGrid w:val="0"/>
                <w:color w:val="auto"/>
                <w:spacing w:val="0"/>
                <w:kern w:val="0"/>
                <w:sz w:val="28"/>
                <w:szCs w:val="28"/>
                <w:highlight w:val="none"/>
                <w:u w:val="none"/>
                <w:shd w:val="clear" w:fill="auto"/>
              </w:rPr>
              <w:t>引进和培育茧丝绸精深加工企业</w:t>
            </w:r>
            <w:r>
              <w:rPr>
                <w:rFonts w:hint="eastAsia" w:ascii="仿宋_GB2312" w:hAnsi="仿宋_GB2312" w:cs="仿宋_GB2312"/>
                <w:i w:val="0"/>
                <w:iCs w:val="0"/>
                <w:caps w:val="0"/>
                <w:snapToGrid w:val="0"/>
                <w:color w:val="auto"/>
                <w:spacing w:val="0"/>
                <w:kern w:val="0"/>
                <w:sz w:val="28"/>
                <w:szCs w:val="28"/>
                <w:highlight w:val="none"/>
                <w:u w:val="none"/>
                <w:shd w:val="clear" w:fill="auto"/>
                <w:lang w:eastAsia="zh-CN"/>
              </w:rPr>
              <w:t>。落实水产绿色健康养殖发展措施，培育桂花鱼、加州鲈等优质品种，推广山泉水流水“生态鱼”养殖、“吊水净化”生态混养、稻渔综合种养等生态健康养殖模式</w:t>
            </w:r>
            <w:r>
              <w:rPr>
                <w:rFonts w:hint="eastAsia" w:ascii="仿宋_GB2312" w:hAnsi="仿宋_GB2312" w:cs="仿宋_GB2312"/>
                <w:snapToGrid w:val="0"/>
                <w:color w:val="auto"/>
                <w:kern w:val="0"/>
                <w:sz w:val="28"/>
                <w:szCs w:val="28"/>
                <w:highlight w:val="none"/>
                <w:u w:val="none"/>
                <w:shd w:val="clear" w:fill="auto"/>
                <w:lang w:eastAsia="zh-CN"/>
              </w:rPr>
              <w:t>与尾水治理技术</w:t>
            </w:r>
            <w:r>
              <w:rPr>
                <w:rFonts w:hint="eastAsia"/>
                <w:sz w:val="28"/>
                <w:szCs w:val="28"/>
                <w:highlight w:val="none"/>
                <w:u w:val="none"/>
                <w:lang w:eastAsia="zh-CN"/>
              </w:rPr>
              <w:t>，</w:t>
            </w:r>
            <w:r>
              <w:rPr>
                <w:rFonts w:hint="eastAsia" w:ascii="仿宋_GB2312" w:hAnsi="仿宋_GB2312" w:eastAsia="仿宋_GB2312" w:cs="仿宋_GB2312"/>
                <w:color w:val="auto"/>
                <w:kern w:val="0"/>
                <w:sz w:val="28"/>
                <w:szCs w:val="28"/>
                <w:highlight w:val="none"/>
                <w:u w:val="none"/>
                <w:lang w:val="en-US" w:eastAsia="zh-CN"/>
              </w:rPr>
              <w:t>推动1个水产加工项目落地见效</w:t>
            </w:r>
            <w:r>
              <w:rPr>
                <w:rFonts w:hint="eastAsia" w:ascii="仿宋_GB2312" w:hAnsi="仿宋_GB2312" w:cs="仿宋_GB2312"/>
                <w:color w:val="auto"/>
                <w:kern w:val="0"/>
                <w:sz w:val="28"/>
                <w:szCs w:val="28"/>
                <w:highlight w:val="none"/>
                <w:u w:val="none"/>
                <w:lang w:val="en-US" w:eastAsia="zh-CN"/>
              </w:rPr>
              <w:t>，力争培育引进1家水产流通企业</w:t>
            </w:r>
            <w:r>
              <w:rPr>
                <w:rFonts w:hint="eastAsia" w:ascii="仿宋_GB2312" w:hAnsi="仿宋_GB2312" w:cs="仿宋_GB2312"/>
                <w:i w:val="0"/>
                <w:iCs w:val="0"/>
                <w:caps w:val="0"/>
                <w:snapToGrid w:val="0"/>
                <w:color w:val="auto"/>
                <w:spacing w:val="0"/>
                <w:kern w:val="0"/>
                <w:sz w:val="28"/>
                <w:szCs w:val="28"/>
                <w:highlight w:val="none"/>
                <w:u w:val="none"/>
                <w:shd w:val="clear" w:fill="auto"/>
                <w:lang w:eastAsia="zh-CN"/>
              </w:rPr>
              <w:t>。</w:t>
            </w:r>
            <w:r>
              <w:rPr>
                <w:rFonts w:hint="eastAsia" w:ascii="仿宋_GB2312" w:hAnsi="仿宋_GB2312" w:cs="仿宋_GB2312"/>
                <w:i w:val="0"/>
                <w:iCs w:val="0"/>
                <w:caps w:val="0"/>
                <w:snapToGrid w:val="0"/>
                <w:color w:val="auto"/>
                <w:spacing w:val="0"/>
                <w:kern w:val="0"/>
                <w:sz w:val="28"/>
                <w:szCs w:val="28"/>
                <w:highlight w:val="none"/>
                <w:u w:val="none"/>
                <w:shd w:val="clear" w:fill="auto"/>
                <w:lang w:val="en-US" w:eastAsia="zh-CN"/>
              </w:rPr>
              <w:t>力争2030年，</w:t>
            </w:r>
            <w:r>
              <w:rPr>
                <w:rFonts w:hint="eastAsia" w:ascii="仿宋_GB2312" w:hAnsi="仿宋_GB2312" w:cs="仿宋_GB2312"/>
                <w:color w:val="auto"/>
                <w:sz w:val="28"/>
                <w:szCs w:val="28"/>
                <w:highlight w:val="none"/>
                <w:u w:val="none"/>
                <w:lang w:val="en-US" w:eastAsia="zh-CN"/>
              </w:rPr>
              <w:t>九龙豆制品、蚕桑、肉牛、食用菌、特色水产全产业链综合产值分别达到10、10、0.5、1、6亿元。</w:t>
            </w:r>
          </w:p>
          <w:p w14:paraId="658F9B33">
            <w:pPr>
              <w:keepNext w:val="0"/>
              <w:keepLines w:val="0"/>
              <w:suppressLineNumbers w:val="0"/>
              <w:snapToGrid w:val="0"/>
              <w:spacing w:before="0" w:beforeAutospacing="0" w:after="0" w:afterAutospacing="0" w:line="500" w:lineRule="exact"/>
              <w:ind w:left="0" w:right="0"/>
              <w:rPr>
                <w:rFonts w:hint="eastAsia" w:ascii="仿宋_GB2312" w:hAnsi="仿宋_GB2312" w:eastAsia="仿宋_GB2312" w:cs="仿宋_GB2312"/>
                <w:i w:val="0"/>
                <w:iCs w:val="0"/>
                <w:caps w:val="0"/>
                <w:spacing w:val="0"/>
                <w:kern w:val="2"/>
                <w:sz w:val="28"/>
                <w:szCs w:val="28"/>
                <w:highlight w:val="none"/>
                <w:u w:val="none"/>
              </w:rPr>
            </w:pPr>
            <w:r>
              <w:rPr>
                <w:rFonts w:hint="eastAsia" w:ascii="方正楷体_GB2312" w:hAnsi="方正楷体_GB2312" w:eastAsia="方正楷体_GB2312" w:cs="方正楷体_GB2312"/>
                <w:i w:val="0"/>
                <w:iCs w:val="0"/>
                <w:caps w:val="0"/>
                <w:spacing w:val="0"/>
                <w:kern w:val="2"/>
                <w:sz w:val="28"/>
                <w:szCs w:val="28"/>
                <w:highlight w:val="none"/>
                <w:u w:val="none"/>
                <w:lang w:val="en-US" w:eastAsia="zh-CN"/>
              </w:rPr>
              <w:t>2</w:t>
            </w:r>
            <w:r>
              <w:rPr>
                <w:rFonts w:hint="eastAsia" w:ascii="方正楷体_GB2312" w:hAnsi="方正楷体_GB2312" w:eastAsia="方正楷体_GB2312" w:cs="方正楷体_GB2312"/>
                <w:i w:val="0"/>
                <w:iCs w:val="0"/>
                <w:caps w:val="0"/>
                <w:spacing w:val="0"/>
                <w:kern w:val="2"/>
                <w:sz w:val="28"/>
                <w:szCs w:val="28"/>
                <w:highlight w:val="none"/>
                <w:u w:val="none"/>
              </w:rPr>
              <w:t>.农产品加工业提升。</w:t>
            </w:r>
            <w:r>
              <w:rPr>
                <w:rFonts w:hint="eastAsia" w:ascii="仿宋_GB2312" w:hAnsi="仿宋_GB2312" w:eastAsia="仿宋_GB2312" w:cs="仿宋_GB2312"/>
                <w:i w:val="0"/>
                <w:iCs w:val="0"/>
                <w:caps w:val="0"/>
                <w:spacing w:val="0"/>
                <w:kern w:val="2"/>
                <w:sz w:val="28"/>
                <w:szCs w:val="28"/>
                <w:highlight w:val="none"/>
                <w:u w:val="none"/>
              </w:rPr>
              <w:t>高水平建设运营英德市绿色食品深加工专业园区，在英城街道、横石塘、九龙、横石水、英红、下石太等镇布局镇域农产品加工园区，在东华、大洞和青塘、石灰铺镇布局肉鸽冷链加工中心、家禽屠宰中心、肉牛屠宰中心。力争到2030年，六大优势产业农产品加工转化率达到80%，特色产业和专精特优产业农产品加工能力进一步提升。</w:t>
            </w:r>
          </w:p>
          <w:p w14:paraId="12F6FB74">
            <w:pPr>
              <w:keepNext w:val="0"/>
              <w:keepLines w:val="0"/>
              <w:widowControl w:val="0"/>
              <w:suppressLineNumbers w:val="0"/>
              <w:autoSpaceDE w:val="0"/>
              <w:autoSpaceDN/>
              <w:adjustRightInd w:val="0"/>
              <w:snapToGrid w:val="0"/>
              <w:spacing w:before="0" w:beforeAutospacing="0" w:after="0" w:afterAutospacing="0" w:line="500" w:lineRule="exact"/>
              <w:ind w:left="0" w:right="0" w:firstLine="560" w:firstLineChars="200"/>
              <w:jc w:val="both"/>
              <w:rPr>
                <w:rFonts w:hint="eastAsia" w:ascii="仿宋_GB2312" w:hAnsi="仿宋_GB2312" w:eastAsia="仿宋_GB2312" w:cs="仿宋_GB2312"/>
                <w:i w:val="0"/>
                <w:iCs w:val="0"/>
                <w:caps w:val="0"/>
                <w:spacing w:val="0"/>
                <w:kern w:val="2"/>
                <w:sz w:val="28"/>
                <w:szCs w:val="28"/>
                <w:highlight w:val="none"/>
                <w:u w:val="none"/>
              </w:rPr>
            </w:pPr>
            <w:r>
              <w:rPr>
                <w:rFonts w:hint="eastAsia" w:ascii="方正楷体_GB2312" w:hAnsi="方正楷体_GB2312" w:eastAsia="方正楷体_GB2312" w:cs="方正楷体_GB2312"/>
                <w:i w:val="0"/>
                <w:iCs w:val="0"/>
                <w:caps w:val="0"/>
                <w:spacing w:val="0"/>
                <w:kern w:val="2"/>
                <w:sz w:val="28"/>
                <w:szCs w:val="28"/>
                <w:highlight w:val="none"/>
                <w:u w:val="none"/>
                <w:lang w:val="en-US" w:eastAsia="zh-CN" w:bidi="ar"/>
              </w:rPr>
              <w:t>3.农产品仓储保鲜冷链物流建设。</w:t>
            </w:r>
            <w:r>
              <w:rPr>
                <w:rFonts w:hint="eastAsia" w:ascii="仿宋_GB2312" w:hAnsi="仿宋_GB2312" w:eastAsia="仿宋_GB2312" w:cs="仿宋_GB2312"/>
                <w:i w:val="0"/>
                <w:iCs w:val="0"/>
                <w:caps w:val="0"/>
                <w:spacing w:val="0"/>
                <w:kern w:val="2"/>
                <w:sz w:val="28"/>
                <w:szCs w:val="28"/>
                <w:highlight w:val="none"/>
                <w:u w:val="none"/>
                <w:lang w:val="en-US" w:eastAsia="zh-CN" w:bidi="ar"/>
              </w:rPr>
              <w:t>建设农产品产地冷藏保鲜设施，配备小型（移动）冷藏设施和低温速冻、气调保鲜等长周期冷藏贮存设施。在大湾镇建设综合冷链仓储物流中心，布局建设冷链集配中心、丝苗米低温仓储中心和英德红茶标准化仓储中心。推进广东供销天业（英德）冷链物流中心和广东供销农产品直供配送英德服务中心建设。改造升级一批乡镇农贸市场、集贸市场。</w:t>
            </w:r>
          </w:p>
          <w:p w14:paraId="09564153">
            <w:pPr>
              <w:keepNext w:val="0"/>
              <w:keepLines w:val="0"/>
              <w:suppressLineNumbers w:val="0"/>
              <w:autoSpaceDE w:val="0"/>
              <w:adjustRightInd w:val="0"/>
              <w:snapToGrid w:val="0"/>
              <w:spacing w:before="0" w:beforeAutospacing="0" w:after="0" w:afterAutospacing="0" w:line="500" w:lineRule="exact"/>
              <w:ind w:left="0" w:right="0" w:firstLine="560" w:firstLineChars="200"/>
              <w:rPr>
                <w:rFonts w:hint="default" w:ascii="方正仿宋_GB2312" w:hAnsi="方正仿宋_GB2312" w:eastAsia="方正仿宋_GB2312" w:cs="方正仿宋_GB2312"/>
                <w:i w:val="0"/>
                <w:iCs w:val="0"/>
                <w:caps w:val="0"/>
                <w:color w:val="000000"/>
                <w:spacing w:val="0"/>
                <w:kern w:val="2"/>
                <w:sz w:val="28"/>
                <w:szCs w:val="28"/>
                <w:highlight w:val="none"/>
                <w:u w:val="none"/>
                <w:lang w:val="en-US" w:eastAsia="zh-CN" w:bidi="ar"/>
              </w:rPr>
            </w:pPr>
            <w:r>
              <w:rPr>
                <w:rFonts w:hint="eastAsia" w:ascii="方正楷体_GB2312" w:hAnsi="方正楷体_GB2312" w:eastAsia="方正楷体_GB2312" w:cs="方正楷体_GB2312"/>
                <w:i w:val="0"/>
                <w:iCs w:val="0"/>
                <w:caps w:val="0"/>
                <w:spacing w:val="0"/>
                <w:kern w:val="2"/>
                <w:sz w:val="28"/>
                <w:szCs w:val="28"/>
                <w:highlight w:val="none"/>
                <w:u w:val="none"/>
                <w:lang w:val="en-US" w:eastAsia="zh-CN" w:bidi="ar"/>
              </w:rPr>
              <w:t>4.绿色农业和质量农业发展。</w:t>
            </w:r>
            <w:r>
              <w:rPr>
                <w:rFonts w:hint="eastAsia" w:ascii="仿宋_GB2312" w:hAnsi="仿宋_GB2312" w:eastAsia="仿宋_GB2312" w:cs="仿宋_GB2312"/>
                <w:color w:val="000000"/>
                <w:sz w:val="28"/>
                <w:szCs w:val="28"/>
                <w:highlight w:val="none"/>
                <w:u w:val="none"/>
                <w:lang w:val="en-US" w:eastAsia="zh-CN" w:bidi="ar"/>
              </w:rPr>
              <w:t>开展绿色种养循环农业试点工作</w:t>
            </w:r>
            <w:r>
              <w:rPr>
                <w:rFonts w:hint="eastAsia" w:ascii="仿宋_GB2312" w:hAnsi="仿宋_GB2312" w:eastAsia="仿宋_GB2312" w:cs="仿宋_GB2312"/>
                <w:b w:val="0"/>
                <w:bCs w:val="0"/>
                <w:color w:val="000000"/>
                <w:kern w:val="2"/>
                <w:sz w:val="28"/>
                <w:szCs w:val="28"/>
                <w:highlight w:val="none"/>
                <w:u w:val="none"/>
                <w:lang w:val="en-US" w:eastAsia="zh-CN" w:bidi="ar"/>
              </w:rPr>
              <w:t>。推进浛洸镇粪污资源化处理中心建设</w:t>
            </w:r>
            <w:r>
              <w:rPr>
                <w:rFonts w:hint="eastAsia" w:ascii="仿宋_GB2312" w:hAnsi="仿宋_GB2312" w:eastAsia="仿宋_GB2312" w:cs="仿宋_GB2312"/>
                <w:color w:val="000000"/>
                <w:sz w:val="28"/>
                <w:szCs w:val="28"/>
                <w:highlight w:val="none"/>
                <w:u w:val="none"/>
                <w:lang w:val="en-US" w:eastAsia="zh-CN" w:bidi="ar"/>
              </w:rPr>
              <w:t>。全面落实承诺达标合格证制度，积极开展农产品“三品一标”认证</w:t>
            </w:r>
            <w:r>
              <w:rPr>
                <w:rFonts w:hint="eastAsia" w:ascii="仿宋_GB2312" w:hAnsi="仿宋_GB2312" w:eastAsia="仿宋_GB2312" w:cs="仿宋_GB2312"/>
                <w:b w:val="0"/>
                <w:bCs w:val="0"/>
                <w:color w:val="000000"/>
                <w:kern w:val="2"/>
                <w:sz w:val="28"/>
                <w:szCs w:val="28"/>
                <w:highlight w:val="none"/>
                <w:u w:val="none"/>
                <w:lang w:val="en-US" w:eastAsia="zh-CN" w:bidi="ar"/>
              </w:rPr>
              <w:t>。</w:t>
            </w:r>
            <w:r>
              <w:rPr>
                <w:rFonts w:hint="eastAsia" w:ascii="仿宋_GB2312" w:hAnsi="仿宋_GB2312" w:eastAsia="仿宋_GB2312" w:cs="仿宋_GB2312"/>
                <w:color w:val="000000"/>
                <w:sz w:val="28"/>
                <w:szCs w:val="28"/>
                <w:highlight w:val="none"/>
                <w:u w:val="none"/>
                <w:lang w:val="en-US" w:eastAsia="zh-CN" w:bidi="ar"/>
              </w:rPr>
              <w:t>到2030年，全市畜禽粪污综合利用率达到85%以上，农产品质量安全例行监测合格率稳定在98%以上。</w:t>
            </w:r>
          </w:p>
          <w:p w14:paraId="5D70EBEC">
            <w:pPr>
              <w:keepNext w:val="0"/>
              <w:keepLines w:val="0"/>
              <w:suppressLineNumbers w:val="0"/>
              <w:autoSpaceDE w:val="0"/>
              <w:adjustRightInd w:val="0"/>
              <w:snapToGrid w:val="0"/>
              <w:spacing w:before="0" w:beforeAutospacing="0" w:after="0" w:afterAutospacing="0" w:line="500" w:lineRule="exact"/>
              <w:ind w:left="0" w:right="0" w:firstLine="560" w:firstLineChars="200"/>
              <w:rPr>
                <w:rFonts w:hint="eastAsia" w:ascii="仿宋_GB2312" w:hAnsi="仿宋_GB2312" w:eastAsia="仿宋_GB2312" w:cs="仿宋_GB2312"/>
                <w:i w:val="0"/>
                <w:iCs w:val="0"/>
                <w:caps w:val="0"/>
                <w:color w:val="000000"/>
                <w:spacing w:val="0"/>
                <w:kern w:val="2"/>
                <w:sz w:val="28"/>
                <w:szCs w:val="28"/>
                <w:highlight w:val="none"/>
                <w:u w:val="none"/>
                <w:lang w:val="en-US" w:eastAsia="zh-CN" w:bidi="ar"/>
              </w:rPr>
            </w:pPr>
            <w:r>
              <w:rPr>
                <w:rFonts w:hint="eastAsia" w:ascii="方正楷体_GB2312" w:hAnsi="方正楷体_GB2312" w:eastAsia="方正楷体_GB2312" w:cs="方正楷体_GB2312"/>
                <w:i w:val="0"/>
                <w:iCs w:val="0"/>
                <w:caps w:val="0"/>
                <w:spacing w:val="0"/>
                <w:kern w:val="2"/>
                <w:sz w:val="28"/>
                <w:szCs w:val="28"/>
                <w:highlight w:val="none"/>
                <w:u w:val="none"/>
                <w:lang w:val="en-US" w:eastAsia="zh-CN" w:bidi="ar"/>
              </w:rPr>
              <w:t>5.品牌打造和市场营销。</w:t>
            </w:r>
            <w:r>
              <w:rPr>
                <w:rFonts w:hint="eastAsia" w:ascii="仿宋_GB2312" w:hAnsi="仿宋_GB2312" w:eastAsia="仿宋_GB2312" w:cs="仿宋_GB2312"/>
                <w:i w:val="0"/>
                <w:iCs w:val="0"/>
                <w:caps w:val="0"/>
                <w:color w:val="000000"/>
                <w:spacing w:val="0"/>
                <w:kern w:val="2"/>
                <w:sz w:val="28"/>
                <w:szCs w:val="28"/>
                <w:highlight w:val="none"/>
                <w:u w:val="none"/>
                <w:lang w:val="en-US" w:eastAsia="zh-CN" w:bidi="ar"/>
              </w:rPr>
              <w:t>强化英德红茶、西牛麻竹笋、清远鸡等区域公用品牌打造，重点打造“英州鸽”区域公用品牌，打造具有品牌核心竞争力的企业品牌和九龙豆腐、英山鱼等“特而美”的产品品牌。支持企业在头部电商平台开设品牌旗舰店，在高端超市设立特色产品专区。依托“广货行天下”行动及举办展销展览活动，推动英德优质农产品走向全国、远销全球。力争到2030年，新增“粤字号”品牌5个以上。</w:t>
            </w:r>
          </w:p>
          <w:p w14:paraId="7B1AB873">
            <w:pPr>
              <w:keepNext w:val="0"/>
              <w:keepLines w:val="0"/>
              <w:suppressLineNumbers w:val="0"/>
              <w:autoSpaceDE w:val="0"/>
              <w:adjustRightInd w:val="0"/>
              <w:snapToGrid w:val="0"/>
              <w:spacing w:before="0" w:beforeAutospacing="0" w:after="0" w:afterAutospacing="0" w:line="500" w:lineRule="exact"/>
              <w:ind w:left="0" w:right="0" w:firstLine="560" w:firstLineChars="200"/>
              <w:rPr>
                <w:rFonts w:hint="default"/>
                <w:sz w:val="28"/>
                <w:szCs w:val="28"/>
                <w:highlight w:val="none"/>
                <w:u w:val="none"/>
                <w:lang w:val="en-US" w:eastAsia="zh-CN"/>
              </w:rPr>
            </w:pPr>
            <w:r>
              <w:rPr>
                <w:rFonts w:hint="eastAsia" w:ascii="方正楷体_GB2312" w:hAnsi="方正楷体_GB2312" w:eastAsia="方正楷体_GB2312" w:cs="方正楷体_GB2312"/>
                <w:i w:val="0"/>
                <w:iCs w:val="0"/>
                <w:caps w:val="0"/>
                <w:spacing w:val="0"/>
                <w:kern w:val="2"/>
                <w:sz w:val="28"/>
                <w:szCs w:val="28"/>
                <w:highlight w:val="none"/>
                <w:u w:val="none"/>
                <w:lang w:val="en-US" w:eastAsia="zh-CN"/>
              </w:rPr>
              <w:t>6</w:t>
            </w:r>
            <w:r>
              <w:rPr>
                <w:rFonts w:hint="eastAsia" w:ascii="方正楷体_GB2312" w:hAnsi="方正楷体_GB2312" w:eastAsia="方正楷体_GB2312" w:cs="方正楷体_GB2312"/>
                <w:i w:val="0"/>
                <w:iCs w:val="0"/>
                <w:caps w:val="0"/>
                <w:spacing w:val="0"/>
                <w:kern w:val="2"/>
                <w:sz w:val="28"/>
                <w:szCs w:val="28"/>
                <w:highlight w:val="none"/>
                <w:u w:val="none"/>
              </w:rPr>
              <w:t>.加强农文旅融合发展。</w:t>
            </w:r>
            <w:r>
              <w:rPr>
                <w:rFonts w:hint="eastAsia" w:ascii="仿宋_GB2312" w:hAnsi="仿宋_GB2312" w:eastAsia="仿宋_GB2312" w:cs="仿宋_GB2312"/>
                <w:i w:val="0"/>
                <w:iCs w:val="0"/>
                <w:caps w:val="0"/>
                <w:spacing w:val="0"/>
                <w:kern w:val="2"/>
                <w:sz w:val="28"/>
                <w:szCs w:val="28"/>
                <w:highlight w:val="none"/>
                <w:u w:val="none"/>
              </w:rPr>
              <w:t>创建农文旅融合基地，以英</w:t>
            </w:r>
            <w:r>
              <w:rPr>
                <w:rFonts w:hint="eastAsia" w:ascii="仿宋_GB2312" w:hAnsi="仿宋_GB2312" w:eastAsia="仿宋_GB2312" w:cs="仿宋_GB2312"/>
                <w:i w:val="0"/>
                <w:iCs w:val="0"/>
                <w:caps w:val="0"/>
                <w:color w:val="000000"/>
                <w:spacing w:val="0"/>
                <w:kern w:val="2"/>
                <w:sz w:val="28"/>
                <w:szCs w:val="28"/>
                <w:highlight w:val="none"/>
                <w:u w:val="none"/>
                <w:lang w:bidi="ar"/>
              </w:rPr>
              <w:t>红、西牛、九龙镇为核心并辐射带动周边镇域，打造以红茶、麻竹笋、豆制品为主题的农文旅融合片区。培育以温泉、茶园、森林等为主题的乡村高等级民宿。培育扎根乡土的农民主播，支持研发非遗文创产品，打造清远鸡、西牛麻竹笋等特色乡村美食品牌，创新开发英德红茶、西牛麻竹笋、肉鸽等本地特色农产品融合菜式。</w:t>
            </w:r>
          </w:p>
        </w:tc>
      </w:tr>
    </w:tbl>
    <w:p w14:paraId="20844F9E">
      <w:pPr>
        <w:pStyle w:val="19"/>
        <w:keepNext/>
        <w:keepLines/>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0"/>
        <w:rPr>
          <w:rFonts w:hint="default" w:ascii="黑体" w:hAnsi="黑体" w:eastAsia="黑体" w:cs="黑体"/>
          <w:sz w:val="28"/>
          <w:szCs w:val="28"/>
          <w:highlight w:val="none"/>
          <w:u w:val="none"/>
          <w:lang w:val="en-US" w:eastAsia="zh-CN"/>
        </w:rPr>
      </w:pPr>
      <w:bookmarkStart w:id="64" w:name="_Toc1288"/>
      <w:bookmarkStart w:id="65" w:name="_Toc22413"/>
      <w:bookmarkStart w:id="66" w:name="_Toc19376"/>
      <w:bookmarkStart w:id="67" w:name="_Toc11640"/>
      <w:bookmarkStart w:id="68" w:name="_Toc773"/>
      <w:r>
        <w:rPr>
          <w:rFonts w:hint="eastAsia" w:ascii="黑体" w:hAnsi="黑体" w:eastAsia="黑体" w:cs="黑体"/>
          <w:sz w:val="28"/>
          <w:szCs w:val="28"/>
          <w:highlight w:val="none"/>
          <w:u w:val="none"/>
          <w:lang w:val="en-US" w:eastAsia="zh-CN"/>
        </w:rPr>
        <w:t>四、强化农业科技和装备支撑，推进科技农业发展</w:t>
      </w:r>
      <w:bookmarkEnd w:id="64"/>
      <w:bookmarkEnd w:id="65"/>
      <w:bookmarkEnd w:id="66"/>
      <w:bookmarkEnd w:id="67"/>
      <w:bookmarkEnd w:id="68"/>
    </w:p>
    <w:p w14:paraId="3D808BF5">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69" w:name="_Toc22227"/>
      <w:bookmarkStart w:id="70" w:name="_Toc32112"/>
      <w:bookmarkStart w:id="71" w:name="_Toc5593"/>
      <w:bookmarkStart w:id="72" w:name="_Toc13984"/>
      <w:bookmarkStart w:id="73" w:name="_Toc1031"/>
      <w:r>
        <w:rPr>
          <w:rFonts w:hint="eastAsia" w:ascii="方正楷体_GB2312" w:hAnsi="方正楷体_GB2312" w:eastAsia="方正楷体_GB2312" w:cs="方正楷体_GB2312"/>
          <w:b w:val="0"/>
          <w:bCs w:val="0"/>
          <w:color w:val="auto"/>
          <w:sz w:val="32"/>
          <w:szCs w:val="32"/>
          <w:highlight w:val="none"/>
          <w:u w:val="none"/>
          <w:lang w:val="en-US" w:eastAsia="zh-CN"/>
        </w:rPr>
        <w:t>加快补齐主要农作物全程机械化短板</w:t>
      </w:r>
      <w:bookmarkEnd w:id="69"/>
      <w:bookmarkEnd w:id="70"/>
      <w:bookmarkEnd w:id="71"/>
      <w:bookmarkEnd w:id="72"/>
      <w:bookmarkEnd w:id="73"/>
    </w:p>
    <w:p w14:paraId="5B84B7B2">
      <w:pPr>
        <w:keepNext w:val="0"/>
        <w:keepLines w:val="0"/>
        <w:pageBreakBefore w:val="0"/>
        <w:widowControl w:val="0"/>
        <w:kinsoku w:val="0"/>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补齐水稻育秧、机插、烘干短板，布局建设镇域水稻育秧中心（点）和烘干中心，引进推广小型插秧机、抛秧机等适用丘陵山区机器，提升水稻、蔬菜等作物集约化育苗能力。补齐特色经济作物机播、机收短板，大力开展茶园、果园水肥一体化管理，开展除草机、采收机等农机装备推广。</w:t>
      </w:r>
      <w:r>
        <w:rPr>
          <w:rFonts w:hint="eastAsia" w:ascii="仿宋_GB2312" w:hAnsi="仿宋_GB2312" w:eastAsia="仿宋_GB2312" w:cs="仿宋_GB2312"/>
          <w:color w:val="auto"/>
          <w:kern w:val="2"/>
          <w:sz w:val="32"/>
          <w:szCs w:val="32"/>
          <w:highlight w:val="none"/>
          <w:u w:val="none"/>
          <w:lang w:val="en-US" w:eastAsia="zh-CN" w:bidi="ar-SA"/>
        </w:rPr>
        <w:t>全面推动大规模设备更新和消费品以旧换新工作，</w:t>
      </w:r>
      <w:r>
        <w:rPr>
          <w:rFonts w:hint="eastAsia" w:ascii="仿宋_GB2312" w:hAnsi="仿宋_GB2312" w:eastAsia="仿宋_GB2312" w:cs="仿宋_GB2312"/>
          <w:sz w:val="32"/>
          <w:szCs w:val="32"/>
          <w:highlight w:val="none"/>
          <w:u w:val="none"/>
          <w:lang w:val="en-US" w:eastAsia="zh-CN"/>
        </w:rPr>
        <w:t>促进粮食烘干绿色发展，</w:t>
      </w:r>
      <w:r>
        <w:rPr>
          <w:rFonts w:hint="eastAsia" w:ascii="仿宋_GB2312" w:hAnsi="仿宋_GB2312" w:eastAsia="仿宋_GB2312" w:cs="仿宋_GB2312"/>
          <w:color w:val="auto"/>
          <w:kern w:val="2"/>
          <w:sz w:val="32"/>
          <w:szCs w:val="32"/>
          <w:highlight w:val="none"/>
          <w:u w:val="none"/>
          <w:lang w:val="en-US" w:eastAsia="zh-CN" w:bidi="ar-SA"/>
        </w:rPr>
        <w:t>提升农机装备智能化、数字化水平，</w:t>
      </w:r>
      <w:r>
        <w:rPr>
          <w:rFonts w:hint="eastAsia" w:ascii="仿宋_GB2312" w:hAnsi="仿宋_GB2312" w:eastAsia="仿宋_GB2312" w:cs="仿宋_GB2312"/>
          <w:sz w:val="32"/>
          <w:szCs w:val="32"/>
          <w:highlight w:val="none"/>
          <w:u w:val="none"/>
          <w:lang w:val="en-US" w:eastAsia="zh-CN"/>
        </w:rPr>
        <w:t>加快高素质复合型农机人才培育和农用无人机应用技术。</w:t>
      </w:r>
    </w:p>
    <w:p w14:paraId="324D9968">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74" w:name="_Toc1120"/>
      <w:bookmarkStart w:id="75" w:name="_Toc13575"/>
      <w:bookmarkStart w:id="76" w:name="_Toc22215"/>
      <w:bookmarkStart w:id="77" w:name="_Toc19353"/>
      <w:bookmarkStart w:id="78" w:name="_Toc22513"/>
      <w:r>
        <w:rPr>
          <w:rFonts w:hint="eastAsia" w:ascii="方正楷体_GB2312" w:hAnsi="方正楷体_GB2312" w:eastAsia="方正楷体_GB2312" w:cs="方正楷体_GB2312"/>
          <w:b w:val="0"/>
          <w:bCs w:val="0"/>
          <w:color w:val="auto"/>
          <w:sz w:val="32"/>
          <w:szCs w:val="32"/>
          <w:highlight w:val="none"/>
          <w:u w:val="none"/>
          <w:lang w:val="en-US" w:eastAsia="zh-CN"/>
        </w:rPr>
        <w:t>持续推进种业振兴</w:t>
      </w:r>
      <w:bookmarkEnd w:id="74"/>
      <w:bookmarkEnd w:id="75"/>
      <w:bookmarkEnd w:id="76"/>
      <w:bookmarkEnd w:id="77"/>
      <w:bookmarkEnd w:id="78"/>
    </w:p>
    <w:p w14:paraId="07EEA7D9">
      <w:pPr>
        <w:keepNext/>
        <w:keepLines/>
        <w:pageBreakBefore w:val="0"/>
        <w:widowControl w:val="0"/>
        <w:kinsoku w:val="0"/>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lang w:val="en-US" w:eastAsia="zh-CN"/>
        </w:rPr>
        <w:t>加强种质资源收集、保护、利用，</w:t>
      </w:r>
      <w:r>
        <w:rPr>
          <w:rFonts w:hint="eastAsia" w:ascii="仿宋_GB2312" w:hAnsi="仿宋_GB2312" w:eastAsia="仿宋_GB2312" w:cs="仿宋_GB2312"/>
          <w:b w:val="0"/>
          <w:bCs w:val="0"/>
          <w:color w:val="auto"/>
          <w:kern w:val="2"/>
          <w:sz w:val="32"/>
          <w:szCs w:val="32"/>
          <w:highlight w:val="none"/>
          <w:u w:val="none"/>
          <w:lang w:val="en-US" w:eastAsia="zh-CN" w:bidi="ar-SA"/>
        </w:rPr>
        <w:t>推进种质资源鉴定评价。</w:t>
      </w:r>
      <w:r>
        <w:rPr>
          <w:rFonts w:hint="eastAsia" w:ascii="仿宋_GB2312" w:hAnsi="仿宋_GB2312" w:eastAsia="仿宋_GB2312" w:cs="仿宋_GB2312"/>
          <w:color w:val="auto"/>
          <w:kern w:val="2"/>
          <w:sz w:val="32"/>
          <w:szCs w:val="32"/>
          <w:highlight w:val="none"/>
          <w:u w:val="none"/>
          <w:lang w:val="en-US" w:eastAsia="zh-CN" w:bidi="ar-SA"/>
        </w:rPr>
        <w:t>鼓励英德市农业科学研究所、龙头企业联合科研院所运用生物育种技术</w:t>
      </w:r>
      <w:r>
        <w:rPr>
          <w:rFonts w:hint="eastAsia" w:ascii="仿宋_GB2312" w:hAnsi="仿宋_GB2312" w:eastAsia="仿宋_GB2312" w:cs="仿宋_GB2312"/>
          <w:b w:val="0"/>
          <w:bCs w:val="0"/>
          <w:sz w:val="32"/>
          <w:szCs w:val="32"/>
          <w:highlight w:val="none"/>
          <w:u w:val="none"/>
          <w:lang w:val="en-US" w:eastAsia="zh-CN"/>
        </w:rPr>
        <w:t>，</w:t>
      </w:r>
      <w:r>
        <w:rPr>
          <w:rFonts w:hint="eastAsia" w:ascii="仿宋_GB2312" w:hAnsi="仿宋_GB2312" w:eastAsia="仿宋_GB2312" w:cs="仿宋_GB2312"/>
          <w:b w:val="0"/>
          <w:bCs w:val="0"/>
          <w:color w:val="auto"/>
          <w:kern w:val="2"/>
          <w:sz w:val="32"/>
          <w:szCs w:val="32"/>
          <w:highlight w:val="none"/>
          <w:u w:val="none"/>
          <w:lang w:val="en-US" w:eastAsia="zh-CN" w:bidi="ar-SA"/>
        </w:rPr>
        <w:t>开展西牛麻竹笋、丝苗米、清远鸡、肉鸽等优势重点品种联合攻关。加强良种繁育基地建设，促进种业企业规模做大、产品做优。</w:t>
      </w:r>
      <w:r>
        <w:rPr>
          <w:rFonts w:hint="eastAsia" w:ascii="仿宋_GB2312" w:hAnsi="仿宋_GB2312" w:eastAsia="仿宋_GB2312" w:cs="仿宋_GB2312"/>
          <w:b w:val="0"/>
          <w:bCs w:val="0"/>
          <w:sz w:val="32"/>
          <w:szCs w:val="32"/>
          <w:highlight w:val="none"/>
          <w:u w:val="none"/>
          <w:lang w:val="en-US" w:eastAsia="zh-CN"/>
        </w:rPr>
        <w:t>健全农作物、畜禽和水产品品种推广服务体系，推动多元主体开展新品种展示评价、示范观摩、技术培训等。</w:t>
      </w:r>
    </w:p>
    <w:p w14:paraId="639C9324">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79" w:name="_Toc24688"/>
      <w:bookmarkStart w:id="80" w:name="_Toc3311"/>
      <w:bookmarkStart w:id="81" w:name="_Toc9315"/>
      <w:bookmarkStart w:id="82" w:name="_Toc29752"/>
      <w:bookmarkStart w:id="83" w:name="_Toc27380"/>
      <w:r>
        <w:rPr>
          <w:rFonts w:hint="eastAsia" w:ascii="方正楷体_GB2312" w:hAnsi="方正楷体_GB2312" w:eastAsia="方正楷体_GB2312" w:cs="方正楷体_GB2312"/>
          <w:b w:val="0"/>
          <w:bCs w:val="0"/>
          <w:color w:val="auto"/>
          <w:sz w:val="32"/>
          <w:szCs w:val="32"/>
          <w:highlight w:val="none"/>
          <w:u w:val="none"/>
          <w:lang w:val="en-US" w:eastAsia="zh-CN"/>
        </w:rPr>
        <w:t>拓展智慧农业发展场景</w:t>
      </w:r>
      <w:bookmarkEnd w:id="79"/>
      <w:bookmarkEnd w:id="80"/>
      <w:bookmarkEnd w:id="81"/>
      <w:bookmarkEnd w:id="82"/>
      <w:bookmarkEnd w:id="83"/>
      <w:bookmarkStart w:id="84" w:name="_Toc13574"/>
      <w:bookmarkEnd w:id="84"/>
      <w:bookmarkStart w:id="85" w:name="_Toc6103"/>
      <w:bookmarkEnd w:id="85"/>
      <w:bookmarkStart w:id="86" w:name="_Toc22363"/>
      <w:bookmarkEnd w:id="86"/>
    </w:p>
    <w:p w14:paraId="251738B9">
      <w:pPr>
        <w:keepNext w:val="0"/>
        <w:keepLines w:val="0"/>
        <w:pageBreakBefore w:val="0"/>
        <w:widowControl w:val="0"/>
        <w:numPr>
          <w:ilvl w:val="-1"/>
          <w:numId w:val="0"/>
        </w:numPr>
        <w:kinsoku w:val="0"/>
        <w:wordWrap/>
        <w:overflowPunct/>
        <w:topLinePunct w:val="0"/>
        <w:autoSpaceDE/>
        <w:autoSpaceDN/>
        <w:bidi w:val="0"/>
        <w:adjustRightInd/>
        <w:snapToGrid/>
        <w:spacing w:line="600" w:lineRule="exact"/>
        <w:ind w:left="0" w:firstLine="640" w:firstLineChars="200"/>
        <w:textAlignment w:val="auto"/>
        <w:outlineLvl w:val="9"/>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lang w:val="en-US" w:eastAsia="zh-CN"/>
        </w:rPr>
        <w:t>加快设施种植、畜禽水产养殖智能化改造，推广应用作物生长监测、水肥综合管理、环境精准调控、饲料精准投喂、疫病监测预警、自动增氧、鱼病智能诊断等技术装备。扩大丝苗米、蔬菜、水果等主要农作物无人机飞防、追肥作业覆盖面，鼓励在山区坡度较大区域开展农用无人机播种，探索开展农作物种植规模、长势、病虫害、灾情等飞行智能监测，在地形地貌复杂、传统运输困难地区推广利用农用无人机开展农资上山、农产品下山，支持各镇结合资源禀赋发展低空农文旅。</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931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tcPr>
          <w:p w14:paraId="3A3A41D3">
            <w:pPr>
              <w:numPr>
                <w:ilvl w:val="-1"/>
                <w:numId w:val="0"/>
              </w:numPr>
              <w:suppressLineNumbers w:val="0"/>
              <w:snapToGrid w:val="0"/>
              <w:spacing w:before="0" w:beforeAutospacing="0" w:after="0" w:afterAutospacing="0" w:line="240" w:lineRule="auto"/>
              <w:ind w:left="0" w:leftChars="0" w:right="0"/>
              <w:jc w:val="center"/>
              <w:rPr>
                <w:rFonts w:hint="default"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lang w:val="en-US" w:eastAsia="zh-CN" w:bidi="ar"/>
              </w:rPr>
              <w:t>专栏4 加强农业科技和装备力量</w:t>
            </w:r>
          </w:p>
        </w:tc>
      </w:tr>
      <w:tr w14:paraId="73D6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tcPr>
          <w:p w14:paraId="6EBE84A7">
            <w:pPr>
              <w:keepNext w:val="0"/>
              <w:keepLines w:val="0"/>
              <w:pageBreakBefore w:val="0"/>
              <w:widowControl w:val="0"/>
              <w:suppressLineNumbers w:val="0"/>
              <w:tabs>
                <w:tab w:val="left" w:pos="420"/>
              </w:tabs>
              <w:kinsoku/>
              <w:wordWrap/>
              <w:overflowPunct/>
              <w:topLinePunct w:val="0"/>
              <w:autoSpaceDE/>
              <w:autoSpaceDN/>
              <w:bidi w:val="0"/>
              <w:adjustRightInd/>
              <w:snapToGrid w:val="0"/>
              <w:spacing w:before="0" w:beforeAutospacing="0" w:after="0" w:afterAutospacing="0" w:line="500" w:lineRule="exact"/>
              <w:ind w:left="0" w:leftChars="0" w:right="0" w:firstLineChars="200"/>
              <w:textAlignment w:val="auto"/>
              <w:rPr>
                <w:rFonts w:hint="eastAsia" w:ascii="仿宋_GB2312" w:hAnsi="仿宋_GB2312" w:eastAsia="仿宋_GB2312" w:cs="仿宋_GB2312"/>
                <w:i w:val="0"/>
                <w:iCs w:val="0"/>
                <w:caps w:val="0"/>
                <w:color w:val="auto"/>
                <w:spacing w:val="0"/>
                <w:kern w:val="2"/>
                <w:sz w:val="28"/>
                <w:szCs w:val="28"/>
                <w:highlight w:val="none"/>
                <w:u w:val="none"/>
                <w:shd w:val="clear"/>
                <w:vertAlign w:val="baseline"/>
                <w:lang w:val="en-US" w:eastAsia="zh-CN" w:bidi="ar-SA"/>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1.补齐作物</w:t>
            </w:r>
            <w:r>
              <w:rPr>
                <w:rFonts w:hint="eastAsia" w:ascii="方正楷体_GB2312" w:hAnsi="方正楷体_GB2312" w:eastAsia="方正楷体_GB2312" w:cs="方正楷体_GB2312"/>
                <w:b w:val="0"/>
                <w:bCs w:val="0"/>
                <w:color w:val="auto"/>
                <w:kern w:val="2"/>
                <w:sz w:val="28"/>
                <w:szCs w:val="28"/>
                <w:highlight w:val="none"/>
                <w:u w:val="none"/>
                <w:shd w:val="clear" w:fill="auto"/>
                <w:lang w:val="en-US" w:eastAsia="zh-CN" w:bidi="ar"/>
              </w:rPr>
              <w:t>育秧</w:t>
            </w: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、机播、烘干贮藏薄弱环节短板。</w:t>
            </w:r>
            <w:r>
              <w:rPr>
                <w:rFonts w:hint="eastAsia" w:ascii="仿宋_GB2312" w:hAnsi="仿宋_GB2312" w:eastAsia="仿宋_GB2312" w:cs="仿宋_GB2312"/>
                <w:i w:val="0"/>
                <w:iCs w:val="0"/>
                <w:caps w:val="0"/>
                <w:color w:val="auto"/>
                <w:spacing w:val="0"/>
                <w:kern w:val="2"/>
                <w:sz w:val="28"/>
                <w:szCs w:val="28"/>
                <w:highlight w:val="none"/>
                <w:u w:val="none"/>
                <w:shd w:val="clear"/>
                <w:vertAlign w:val="baseline"/>
                <w:lang w:val="en-US" w:eastAsia="zh-CN" w:bidi="ar-SA"/>
              </w:rPr>
              <w:t>引进推广小型插秧机、抛秧机等适用丘陵山区机器，支持老旧烘干机升级改造为高环保热泵、生物质颗粒等经济环保型烘干设备，推动大湾镇、大站镇、横石塘镇丝苗米烘干中心建成投产。</w:t>
            </w:r>
            <w:r>
              <w:rPr>
                <w:rFonts w:hint="eastAsia" w:ascii="仿宋_GB2312" w:hAnsi="仿宋_GB2312" w:eastAsia="仿宋_GB2312" w:cs="仿宋_GB2312"/>
                <w:color w:val="auto"/>
                <w:kern w:val="2"/>
                <w:sz w:val="28"/>
                <w:szCs w:val="28"/>
                <w:highlight w:val="none"/>
                <w:u w:val="none"/>
                <w:lang w:val="en-US" w:eastAsia="zh-CN" w:bidi="ar-SA"/>
              </w:rPr>
              <w:t>到2030年，全市水稻耕种收综合机械化率达到85%，主要农作物耕种收综合机械化率达到58%。</w:t>
            </w:r>
          </w:p>
          <w:p w14:paraId="74770C38">
            <w:pPr>
              <w:keepNext w:val="0"/>
              <w:keepLines w:val="0"/>
              <w:suppressLineNumbers w:val="0"/>
              <w:snapToGrid w:val="0"/>
              <w:spacing w:before="0" w:beforeAutospacing="0" w:after="0" w:afterAutospacing="0" w:line="500" w:lineRule="exact"/>
              <w:ind w:left="0" w:right="0"/>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2.</w:t>
            </w:r>
            <w:r>
              <w:rPr>
                <w:rFonts w:hint="eastAsia" w:ascii="方正楷体_GB2312" w:hAnsi="方正楷体_GB2312" w:eastAsia="方正楷体_GB2312" w:cs="方正楷体_GB2312"/>
                <w:b w:val="0"/>
                <w:bCs w:val="0"/>
                <w:color w:val="auto"/>
                <w:sz w:val="28"/>
                <w:szCs w:val="28"/>
                <w:highlight w:val="none"/>
                <w:u w:val="none"/>
                <w:lang w:val="en-US" w:eastAsia="zh-CN"/>
              </w:rPr>
              <w:t>强化优良品种选育与推广。</w:t>
            </w:r>
            <w:r>
              <w:rPr>
                <w:rFonts w:hint="eastAsia" w:ascii="仿宋_GB2312" w:hAnsi="仿宋_GB2312" w:eastAsia="仿宋_GB2312" w:cs="仿宋_GB2312"/>
                <w:b w:val="0"/>
                <w:bCs w:val="0"/>
                <w:color w:val="auto"/>
                <w:sz w:val="28"/>
                <w:szCs w:val="28"/>
                <w:highlight w:val="none"/>
                <w:u w:val="none"/>
                <w:lang w:val="en-US" w:eastAsia="zh-CN"/>
              </w:rPr>
              <w:t>开展西牛麻竹笋、丝苗米、清远鸡种质资源收集、保护、利用，加快引进、培育高产优质广适多抗、适应机械化作业和产业化推广的突破性新品种。积极创建国家和省级畜禽保种场、畜禽核心育种场、畜禽良种扩繁推广基地，建设西牛麻竹笋、蔬菜、番薯、黑皮甘蔗等种苗繁育基地。</w:t>
            </w:r>
          </w:p>
          <w:p w14:paraId="5DCB0F63">
            <w:pPr>
              <w:keepNext w:val="0"/>
              <w:suppressLineNumbers w:val="0"/>
              <w:snapToGrid w:val="0"/>
              <w:spacing w:before="0" w:beforeAutospacing="0" w:after="0" w:afterAutospacing="0" w:line="500" w:lineRule="exact"/>
              <w:ind w:left="0" w:right="0"/>
              <w:rPr>
                <w:rFonts w:hint="default"/>
                <w:sz w:val="28"/>
                <w:szCs w:val="28"/>
                <w:highlight w:val="none"/>
                <w:u w:val="none"/>
                <w:lang w:val="en-US" w:eastAsia="zh-CN"/>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3.智慧农业场景拓展。</w:t>
            </w:r>
            <w:r>
              <w:rPr>
                <w:rFonts w:hint="eastAsia" w:ascii="仿宋_GB2312" w:hAnsi="仿宋_GB2312" w:eastAsia="仿宋_GB2312" w:cs="仿宋_GB2312"/>
                <w:i w:val="0"/>
                <w:iCs w:val="0"/>
                <w:caps w:val="0"/>
                <w:color w:val="auto"/>
                <w:spacing w:val="0"/>
                <w:kern w:val="2"/>
                <w:sz w:val="28"/>
                <w:szCs w:val="28"/>
                <w:highlight w:val="none"/>
                <w:u w:val="none"/>
                <w:shd w:val="clear" w:fill="auto"/>
                <w:vertAlign w:val="baseline"/>
                <w:lang w:val="en-US" w:eastAsia="zh-CN" w:bidi="ar"/>
              </w:rPr>
              <w:t>支持丝苗米、蔬菜、水果、茶叶、畜禽、渔业种养基地拓展无人机、物联网、机器人等应用场景，力争建设智慧农（牧、渔）场试点。加强农用无人机应用，支持各镇结合资源禀赋打造低空观光、航拍体验等场景。</w:t>
            </w:r>
          </w:p>
        </w:tc>
      </w:tr>
    </w:tbl>
    <w:p w14:paraId="68CA5474">
      <w:pPr>
        <w:keepNext w:val="0"/>
        <w:keepLines w:val="0"/>
        <w:pageBreakBefore w:val="0"/>
        <w:widowControl w:val="0"/>
        <w:kinsoku w:val="0"/>
        <w:wordWrap/>
        <w:overflowPunct/>
        <w:topLinePunct w:val="0"/>
        <w:autoSpaceDE/>
        <w:autoSpaceDN/>
        <w:bidi w:val="0"/>
        <w:adjustRightInd/>
        <w:snapToGrid/>
        <w:spacing w:line="600" w:lineRule="exact"/>
        <w:ind w:left="0" w:leftChars="0" w:firstLine="0" w:firstLineChars="0"/>
        <w:textAlignment w:val="auto"/>
        <w:outlineLvl w:val="0"/>
        <w:rPr>
          <w:rFonts w:hint="eastAsia" w:ascii="方正楷体_GB2312" w:hAnsi="方正楷体_GB2312" w:eastAsia="方正楷体_GB2312" w:cs="方正楷体_GB2312"/>
          <w:b w:val="0"/>
          <w:bCs w:val="0"/>
          <w:color w:val="auto"/>
          <w:sz w:val="28"/>
          <w:szCs w:val="28"/>
          <w:highlight w:val="none"/>
          <w:u w:val="none"/>
          <w:lang w:val="en-US" w:eastAsia="zh-CN"/>
        </w:rPr>
      </w:pPr>
      <w:bookmarkStart w:id="87" w:name="_Toc12478"/>
      <w:bookmarkStart w:id="88" w:name="_Toc15846"/>
      <w:bookmarkStart w:id="89" w:name="_Toc4128"/>
      <w:bookmarkStart w:id="90" w:name="_Toc16439"/>
      <w:bookmarkStart w:id="91" w:name="_Toc15082"/>
      <w:r>
        <w:rPr>
          <w:rFonts w:hint="eastAsia" w:eastAsia="黑体" w:cs="Times New Roman"/>
          <w:b w:val="0"/>
          <w:bCs w:val="0"/>
          <w:color w:val="auto"/>
          <w:kern w:val="2"/>
          <w:sz w:val="28"/>
          <w:szCs w:val="28"/>
          <w:highlight w:val="none"/>
          <w:u w:val="none"/>
          <w:lang w:val="en-US" w:eastAsia="zh-CN" w:bidi="ar-SA"/>
        </w:rPr>
        <w:t>五、完善现代农业经营体系，促进小农户和现代农业发展有机衔接</w:t>
      </w:r>
      <w:bookmarkEnd w:id="87"/>
      <w:bookmarkEnd w:id="88"/>
      <w:bookmarkEnd w:id="89"/>
      <w:bookmarkEnd w:id="90"/>
      <w:bookmarkEnd w:id="91"/>
    </w:p>
    <w:p w14:paraId="62627287">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92" w:name="_Toc30110"/>
      <w:bookmarkStart w:id="93" w:name="_Toc4356"/>
      <w:bookmarkStart w:id="94" w:name="_Toc2642"/>
      <w:bookmarkStart w:id="95" w:name="_Toc29856"/>
      <w:bookmarkStart w:id="96" w:name="_Toc464"/>
      <w:r>
        <w:rPr>
          <w:rFonts w:hint="eastAsia" w:ascii="方正楷体_GB2312" w:hAnsi="方正楷体_GB2312" w:eastAsia="方正楷体_GB2312" w:cs="方正楷体_GB2312"/>
          <w:b w:val="0"/>
          <w:bCs w:val="0"/>
          <w:color w:val="auto"/>
          <w:sz w:val="32"/>
          <w:szCs w:val="32"/>
          <w:highlight w:val="none"/>
          <w:u w:val="none"/>
          <w:lang w:val="en-US" w:eastAsia="zh-CN"/>
        </w:rPr>
        <w:t>提高新型现代农业经营主体发展质量</w:t>
      </w:r>
      <w:bookmarkEnd w:id="92"/>
      <w:bookmarkEnd w:id="93"/>
      <w:bookmarkEnd w:id="94"/>
      <w:bookmarkEnd w:id="95"/>
      <w:bookmarkEnd w:id="96"/>
    </w:p>
    <w:p w14:paraId="5009DE08">
      <w:pPr>
        <w:keepNext w:val="0"/>
        <w:keepLines w:val="0"/>
        <w:pageBreakBefore w:val="0"/>
        <w:widowControl w:val="0"/>
        <w:kinsoku w:val="0"/>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lang w:val="en-US" w:eastAsia="zh-CN"/>
        </w:rPr>
        <w:t>分类有序开展国家、省、市、县四级农业龙头企业梯次培育。鼓励企业聚焦核心种源、精深加工等环节，加大投入、提高产能、扩大规模、做强实力，实现“社转企、小升规、规改股、股上市”。充分发挥龙头企业在产业链中的引领带动作用，推广“龙头企业+农民合作社+家庭农场+农户”发展模式。强化农民合作社规范运营与多元经营，把农民合作社打造成为一二三产业融合发展的重要载体，引导农民合作社开展同业联合、同域联合。引导有意愿的小农户发展家庭农场，完善家庭农场分类培育机制，推广应用家庭农场“一码通”，提高经营管理规范化水平。</w:t>
      </w:r>
    </w:p>
    <w:p w14:paraId="73EF7A8F">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97" w:name="_Toc15947"/>
      <w:bookmarkStart w:id="98" w:name="_Toc16383"/>
      <w:bookmarkStart w:id="99" w:name="_Toc20634"/>
      <w:bookmarkStart w:id="100" w:name="_Toc31413"/>
      <w:bookmarkStart w:id="101" w:name="_Toc15519"/>
      <w:r>
        <w:rPr>
          <w:rFonts w:hint="eastAsia" w:ascii="方正楷体_GB2312" w:hAnsi="方正楷体_GB2312" w:eastAsia="方正楷体_GB2312" w:cs="方正楷体_GB2312"/>
          <w:b w:val="0"/>
          <w:bCs w:val="0"/>
          <w:color w:val="auto"/>
          <w:sz w:val="32"/>
          <w:szCs w:val="32"/>
          <w:highlight w:val="none"/>
          <w:u w:val="none"/>
          <w:lang w:val="en-US" w:eastAsia="zh-CN"/>
        </w:rPr>
        <w:t>完善便捷的农业社会化服务体系</w:t>
      </w:r>
      <w:bookmarkEnd w:id="97"/>
      <w:bookmarkEnd w:id="98"/>
      <w:bookmarkEnd w:id="99"/>
      <w:bookmarkEnd w:id="100"/>
      <w:bookmarkEnd w:id="101"/>
    </w:p>
    <w:p w14:paraId="1CB6478A">
      <w:pPr>
        <w:keepNext w:val="0"/>
        <w:keepLines w:val="0"/>
        <w:pageBreakBefore w:val="0"/>
        <w:widowControl w:val="0"/>
        <w:kinsoku w:val="0"/>
        <w:wordWrap/>
        <w:overflowPunct/>
        <w:topLinePunct w:val="0"/>
        <w:autoSpaceDE/>
        <w:autoSpaceDN/>
        <w:bidi w:val="0"/>
        <w:adjustRightInd/>
        <w:snapToGrid/>
        <w:spacing w:line="600" w:lineRule="exact"/>
        <w:textAlignment w:val="auto"/>
        <w:outlineLvl w:val="9"/>
        <w:rPr>
          <w:rFonts w:hint="eastAsia" w:ascii="方正仿宋_GB2312" w:hAnsi="方正仿宋_GB2312" w:eastAsia="方正仿宋_GB2312" w:cs="方正仿宋_GB2312"/>
          <w:b w:val="0"/>
          <w:bCs w:val="0"/>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lang w:val="en-US" w:eastAsia="zh-CN"/>
        </w:rPr>
        <w:t>持续构建“英德市农业生产托管运营中心+镇级区域性农业生产托管运营分中心+村级托管员”农业社会化服务体系，推行“保姆式”全程托管、“菜单式”多环节托管、“点单式”单环节托管等服务模式。规范农业社会化服务的方式、内容与过程，鼓励各类服务主体应用遥感监测、作物长势监测、灾害预警等新型智能化装备，探索搭建全市农业社会化服务综合信息平台。引导农民合作社、农村集体经济组织等主体，以市场化为导向因地制宜建设现代农事综合服务中心，推动服务范围向产前、产后以及全托管服务环节延伸，形成“一中心多功能”“多中心协同”建设模式。</w:t>
      </w:r>
    </w:p>
    <w:p w14:paraId="7DD83F21">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102" w:name="_Toc1507"/>
      <w:bookmarkStart w:id="103" w:name="_Toc2544"/>
      <w:bookmarkStart w:id="104" w:name="_Toc8686"/>
      <w:bookmarkStart w:id="105" w:name="_Toc12822"/>
      <w:bookmarkStart w:id="106" w:name="_Toc16613"/>
      <w:r>
        <w:rPr>
          <w:rFonts w:hint="eastAsia" w:ascii="方正楷体_GB2312" w:hAnsi="方正楷体_GB2312" w:eastAsia="方正楷体_GB2312" w:cs="方正楷体_GB2312"/>
          <w:b w:val="0"/>
          <w:bCs w:val="0"/>
          <w:color w:val="auto"/>
          <w:sz w:val="32"/>
          <w:szCs w:val="32"/>
          <w:highlight w:val="none"/>
          <w:u w:val="none"/>
          <w:lang w:val="en-US" w:eastAsia="zh-CN"/>
        </w:rPr>
        <w:t>发展农业适度规模经营</w:t>
      </w:r>
      <w:bookmarkEnd w:id="102"/>
      <w:bookmarkEnd w:id="103"/>
      <w:bookmarkEnd w:id="104"/>
      <w:bookmarkEnd w:id="105"/>
      <w:bookmarkEnd w:id="106"/>
    </w:p>
    <w:p w14:paraId="6D18179A">
      <w:pPr>
        <w:keepNext w:val="0"/>
        <w:keepLines w:val="0"/>
        <w:kinsoku w:val="0"/>
        <w:spacing w:line="600" w:lineRule="exact"/>
        <w:outlineLvl w:val="9"/>
        <w:rPr>
          <w:rFonts w:hint="eastAsia" w:ascii="仿宋_GB2312" w:hAnsi="仿宋_GB2312" w:cs="仿宋_GB2312"/>
          <w:sz w:val="32"/>
          <w:szCs w:val="32"/>
          <w:highlight w:val="none"/>
          <w:u w:val="none"/>
          <w:lang w:val="en-US" w:eastAsia="zh-CN"/>
        </w:rPr>
      </w:pPr>
      <w:r>
        <w:rPr>
          <w:rFonts w:hint="eastAsia" w:ascii="仿宋_GB2312" w:hAnsi="仿宋_GB2312" w:eastAsia="仿宋_GB2312" w:cs="仿宋_GB2312"/>
          <w:b w:val="0"/>
          <w:bCs w:val="0"/>
          <w:sz w:val="32"/>
          <w:szCs w:val="32"/>
          <w:highlight w:val="none"/>
          <w:u w:val="none"/>
          <w:lang w:val="en-US" w:eastAsia="zh-CN"/>
        </w:rPr>
        <w:t>全力推动农业适度规模化经营省级专项改革试点，创新土地出租、股份合作、土地托管、代耕代种等土地经营权流转形式，推动多主体流转土地，加强土地流转风险防范。以政策性金融为主导按需提供融资支持，发挥省农担公司主导作用，持续开展“整村授信”，扩大对农机具及农业设备设施的保险覆盖范围。推广“保底价+市场价上浮分成+二次分红”“保底收益+按股分红+劳务收入”多元分配模式，引入风险补偿等补充机制，让农民更多分享产业链增值收益。</w:t>
      </w:r>
    </w:p>
    <w:tbl>
      <w:tblPr>
        <w:tblStyle w:val="1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9BB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tcPr>
          <w:p w14:paraId="2C393377">
            <w:pPr>
              <w:numPr>
                <w:ilvl w:val="-1"/>
                <w:numId w:val="0"/>
              </w:numPr>
              <w:suppressLineNumbers w:val="0"/>
              <w:snapToGrid w:val="0"/>
              <w:spacing w:before="0" w:beforeAutospacing="0" w:after="0" w:afterAutospacing="0" w:line="240" w:lineRule="auto"/>
              <w:ind w:left="0" w:leftChars="0" w:right="0"/>
              <w:jc w:val="center"/>
              <w:rPr>
                <w:rFonts w:hint="default"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lang w:val="en-US" w:eastAsia="zh-CN" w:bidi="ar"/>
              </w:rPr>
              <w:t>专栏5 完善现代农业经营体系</w:t>
            </w:r>
          </w:p>
        </w:tc>
      </w:tr>
      <w:tr w14:paraId="217C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tcPr>
          <w:p w14:paraId="2E5681B8">
            <w:pPr>
              <w:keepNext w:val="0"/>
              <w:suppressLineNumbers w:val="0"/>
              <w:snapToGrid w:val="0"/>
              <w:spacing w:before="0" w:beforeAutospacing="0" w:after="0" w:afterAutospacing="0" w:line="500" w:lineRule="exact"/>
              <w:ind w:left="0" w:right="0"/>
              <w:rPr>
                <w:rFonts w:hint="default"/>
                <w:sz w:val="28"/>
                <w:szCs w:val="28"/>
                <w:highlight w:val="none"/>
                <w:u w:val="none"/>
                <w:lang w:val="en-US" w:eastAsia="zh-CN"/>
              </w:rPr>
            </w:pPr>
            <w:r>
              <w:rPr>
                <w:rFonts w:hint="default"/>
                <w:sz w:val="28"/>
                <w:szCs w:val="28"/>
                <w:highlight w:val="none"/>
                <w:u w:val="none"/>
                <w:lang w:val="en-US" w:eastAsia="zh-CN"/>
              </w:rPr>
              <w:t>1.培育壮大多元新型农业经营主体。聚焦做强“2+2+N”特色农业产业集群，培育一批农业龙头企业，壮大一批“链主”企业、“专精特新”和高新技术企业，培育和发展农业产业化联合体。创建一批标杆合作社和标杆家庭农场。到2030年，市级以上农业龙头企业达77家，省级以上标杆农民专业合作社达35家、标杆家庭农场达38家。</w:t>
            </w:r>
          </w:p>
          <w:p w14:paraId="52F2490D">
            <w:pPr>
              <w:keepNext w:val="0"/>
              <w:suppressLineNumbers w:val="0"/>
              <w:snapToGrid w:val="0"/>
              <w:spacing w:before="0" w:beforeAutospacing="0" w:after="0" w:afterAutospacing="0" w:line="500" w:lineRule="exact"/>
              <w:ind w:left="0" w:right="0"/>
              <w:rPr>
                <w:rFonts w:hint="default"/>
                <w:sz w:val="28"/>
                <w:szCs w:val="28"/>
                <w:highlight w:val="none"/>
                <w:u w:val="none"/>
                <w:lang w:val="en-US" w:eastAsia="zh-CN"/>
              </w:rPr>
            </w:pPr>
            <w:r>
              <w:rPr>
                <w:rFonts w:hint="default"/>
                <w:sz w:val="28"/>
                <w:szCs w:val="28"/>
                <w:highlight w:val="none"/>
                <w:u w:val="none"/>
                <w:lang w:val="en-US" w:eastAsia="zh-CN"/>
              </w:rPr>
              <w:t>2.建设现代农事综合服务中心。布局建设粮油作物、经济作物等多种产业类型的现代农事综合服务中心，推进“全程机械化+综合农事”服务，补齐经营性服务短板弱项。研究制定水稻、大豆、蚕桑、红茶等英德市特色产业社会化服务规范。</w:t>
            </w:r>
          </w:p>
          <w:p w14:paraId="4D324CF1">
            <w:pPr>
              <w:keepNext w:val="0"/>
              <w:suppressLineNumbers w:val="0"/>
              <w:snapToGrid w:val="0"/>
              <w:spacing w:before="0" w:beforeAutospacing="0" w:after="0" w:afterAutospacing="0" w:line="500" w:lineRule="exact"/>
              <w:ind w:left="0" w:right="0"/>
              <w:rPr>
                <w:rFonts w:hint="default"/>
                <w:sz w:val="28"/>
                <w:szCs w:val="28"/>
                <w:highlight w:val="none"/>
                <w:u w:val="none"/>
                <w:lang w:val="en-US" w:eastAsia="zh-CN"/>
              </w:rPr>
            </w:pPr>
            <w:r>
              <w:rPr>
                <w:rFonts w:hint="default"/>
                <w:sz w:val="28"/>
                <w:szCs w:val="28"/>
                <w:highlight w:val="none"/>
                <w:u w:val="none"/>
                <w:lang w:val="en-US" w:eastAsia="zh-CN"/>
              </w:rPr>
              <w:t>3.发展适度规模经营。有序推进土地经营权流转，对流转面积较大、涉及农户较多、经营风险较高的土地流转项目探索设立风险保障金、流转履约保证保险。深化“英德红茶贷”“金竹笋”等特色金融产品。构建关系稳定、联结紧密、权责一致、利益共享、风险可控的联农带农机制。</w:t>
            </w:r>
          </w:p>
        </w:tc>
      </w:tr>
    </w:tbl>
    <w:p w14:paraId="6B30A46F">
      <w:pPr>
        <w:keepNext w:val="0"/>
        <w:bidi w:val="0"/>
        <w:spacing w:line="600" w:lineRule="exact"/>
        <w:outlineLvl w:val="0"/>
        <w:rPr>
          <w:rFonts w:hint="eastAsia" w:ascii="黑体" w:hAnsi="黑体" w:eastAsia="黑体" w:cs="黑体"/>
          <w:b/>
          <w:bCs/>
          <w:color w:val="0000FF"/>
          <w:sz w:val="28"/>
          <w:szCs w:val="28"/>
          <w:highlight w:val="none"/>
          <w:u w:val="none"/>
          <w:lang w:val="en-US" w:eastAsia="zh-CN"/>
        </w:rPr>
      </w:pPr>
      <w:bookmarkStart w:id="107" w:name="_Toc13922"/>
      <w:bookmarkStart w:id="108" w:name="_Toc264"/>
      <w:bookmarkStart w:id="109" w:name="_Toc3335"/>
      <w:bookmarkStart w:id="110" w:name="_Toc1215"/>
      <w:bookmarkStart w:id="111" w:name="_Toc15405"/>
      <w:r>
        <w:rPr>
          <w:rFonts w:hint="eastAsia" w:ascii="黑体" w:hAnsi="黑体" w:eastAsia="黑体" w:cs="黑体"/>
          <w:sz w:val="28"/>
          <w:szCs w:val="28"/>
          <w:highlight w:val="none"/>
          <w:u w:val="none"/>
          <w:lang w:val="en-US" w:eastAsia="zh-CN"/>
        </w:rPr>
        <w:t>六、加快推进塑形铸魂，建设宜居宜业和美乡村</w:t>
      </w:r>
      <w:bookmarkEnd w:id="107"/>
      <w:bookmarkEnd w:id="108"/>
      <w:bookmarkEnd w:id="109"/>
      <w:bookmarkEnd w:id="110"/>
      <w:bookmarkEnd w:id="111"/>
    </w:p>
    <w:p w14:paraId="265ACF2F">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112" w:name="_Toc28844"/>
      <w:bookmarkStart w:id="113" w:name="_Toc32636"/>
      <w:bookmarkStart w:id="114" w:name="_Toc23723"/>
      <w:bookmarkStart w:id="115" w:name="_Toc6455"/>
      <w:bookmarkStart w:id="116" w:name="_Toc24923"/>
      <w:r>
        <w:rPr>
          <w:rFonts w:hint="eastAsia" w:ascii="方正楷体_GB2312" w:hAnsi="方正楷体_GB2312" w:eastAsia="方正楷体_GB2312" w:cs="方正楷体_GB2312"/>
          <w:b w:val="0"/>
          <w:bCs w:val="0"/>
          <w:color w:val="auto"/>
          <w:sz w:val="32"/>
          <w:szCs w:val="32"/>
          <w:highlight w:val="none"/>
          <w:u w:val="none"/>
          <w:lang w:val="en-US" w:eastAsia="zh-CN"/>
        </w:rPr>
        <w:t>分类有序推进乡村建设</w:t>
      </w:r>
      <w:bookmarkEnd w:id="112"/>
      <w:bookmarkEnd w:id="113"/>
      <w:bookmarkEnd w:id="114"/>
      <w:bookmarkEnd w:id="115"/>
      <w:bookmarkEnd w:id="116"/>
    </w:p>
    <w:p w14:paraId="6DAD3166">
      <w:pPr>
        <w:keepNext w:val="0"/>
        <w:keepLines w:val="0"/>
        <w:pageBreakBefore w:val="0"/>
        <w:widowControl/>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加强村庄分类建设，强化聚集提升类村庄产业发展和基础设施改造提升，推动城郊融合类村庄城乡一体化建设，改善特色保护类村庄重点基础设施和公共环境，搬迁撤并类村庄有序实施搬迁撤并。持续推进典型镇村和典型村片区培育，联动美丽圩镇、美丽乡村、美丽乡村示范带、未来乡村建设等，持续推动典型镇村和周边镇村串珠成链、成片打造。推进镇村片区组团发展，依托茶叶、西牛麻竹笋等优势产业和“英西峰林”等农文旅资源，推动九龙镇-黄花镇镇村片区组团、英红镇-横石塘镇-石灰铺镇镇村等片区组团培育工作，积极争取打造省级镇村片区组团。</w:t>
      </w:r>
    </w:p>
    <w:p w14:paraId="01A48862">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117" w:name="_Toc10140"/>
      <w:bookmarkStart w:id="118" w:name="_Toc31238"/>
      <w:bookmarkStart w:id="119" w:name="_Toc18564"/>
      <w:bookmarkStart w:id="120" w:name="_Toc28771"/>
      <w:bookmarkStart w:id="121" w:name="_Toc29102"/>
      <w:r>
        <w:rPr>
          <w:rFonts w:hint="eastAsia" w:ascii="方正楷体_GB2312" w:hAnsi="方正楷体_GB2312" w:eastAsia="方正楷体_GB2312" w:cs="方正楷体_GB2312"/>
          <w:b w:val="0"/>
          <w:bCs w:val="0"/>
          <w:color w:val="auto"/>
          <w:sz w:val="32"/>
          <w:szCs w:val="32"/>
          <w:highlight w:val="none"/>
          <w:u w:val="none"/>
          <w:lang w:val="en-US" w:eastAsia="zh-CN"/>
        </w:rPr>
        <w:t>提高农村基础设施完备度</w:t>
      </w:r>
      <w:bookmarkEnd w:id="117"/>
      <w:bookmarkEnd w:id="118"/>
      <w:bookmarkEnd w:id="119"/>
      <w:bookmarkEnd w:id="120"/>
      <w:bookmarkEnd w:id="121"/>
    </w:p>
    <w:p w14:paraId="447AB3BB">
      <w:pPr>
        <w:keepNext w:val="0"/>
        <w:keepLines w:val="0"/>
        <w:widowControl/>
        <w:suppressLineNumbers w:val="0"/>
        <w:spacing w:line="600" w:lineRule="exact"/>
        <w:jc w:val="left"/>
        <w:rPr>
          <w:sz w:val="32"/>
          <w:szCs w:val="32"/>
          <w:highlight w:val="none"/>
          <w:u w:val="none"/>
        </w:rPr>
      </w:pPr>
      <w:r>
        <w:rPr>
          <w:rFonts w:hint="eastAsia" w:ascii="仿宋_GB2312" w:hAnsi="仿宋_GB2312" w:cs="仿宋_GB2312"/>
          <w:b w:val="0"/>
          <w:bCs w:val="0"/>
          <w:i w:val="0"/>
          <w:iCs w:val="0"/>
          <w:caps w:val="0"/>
          <w:color w:val="auto"/>
          <w:spacing w:val="0"/>
          <w:sz w:val="32"/>
          <w:szCs w:val="32"/>
          <w:highlight w:val="none"/>
          <w:u w:val="none"/>
          <w:shd w:val="clear"/>
          <w:lang w:val="en-US" w:eastAsia="zh-CN"/>
        </w:rPr>
        <w:t>持续推进城乡供水一体化，协助加快推进农村供水“三同五化”县域统管改造提升。</w:t>
      </w:r>
      <w:r>
        <w:rPr>
          <w:rFonts w:hint="eastAsia" w:ascii="仿宋_GB2312" w:hAnsi="仿宋_GB2312" w:eastAsia="仿宋_GB2312" w:cs="仿宋_GB2312"/>
          <w:b w:val="0"/>
          <w:bCs w:val="0"/>
          <w:sz w:val="32"/>
          <w:szCs w:val="32"/>
          <w:highlight w:val="none"/>
          <w:u w:val="none"/>
        </w:rPr>
        <w:t>推进农村电网巩固提升工程</w:t>
      </w:r>
      <w:r>
        <w:rPr>
          <w:rFonts w:hint="eastAsia" w:ascii="仿宋_GB2312" w:hAnsi="仿宋_GB2312" w:eastAsia="仿宋_GB2312" w:cs="仿宋_GB2312"/>
          <w:b w:val="0"/>
          <w:bCs w:val="0"/>
          <w:i w:val="0"/>
          <w:iCs w:val="0"/>
          <w:caps w:val="0"/>
          <w:color w:val="auto"/>
          <w:spacing w:val="0"/>
          <w:sz w:val="32"/>
          <w:szCs w:val="32"/>
          <w:highlight w:val="none"/>
          <w:u w:val="none"/>
          <w:shd w:val="clear"/>
        </w:rPr>
        <w:t>，</w:t>
      </w:r>
      <w:r>
        <w:rPr>
          <w:rFonts w:hint="eastAsia" w:ascii="仿宋_GB2312" w:hAnsi="仿宋_GB2312" w:eastAsia="仿宋_GB2312" w:cs="仿宋_GB2312"/>
          <w:b w:val="0"/>
          <w:bCs w:val="0"/>
          <w:i w:val="0"/>
          <w:iCs w:val="0"/>
          <w:caps w:val="0"/>
          <w:color w:val="auto"/>
          <w:spacing w:val="0"/>
          <w:sz w:val="32"/>
          <w:szCs w:val="32"/>
          <w:highlight w:val="none"/>
          <w:u w:val="none"/>
          <w:shd w:val="clear"/>
          <w:lang w:val="en-US" w:eastAsia="zh-CN"/>
        </w:rPr>
        <w:t>建设提升农村电网供电保障和综合承载能力</w:t>
      </w:r>
      <w:r>
        <w:rPr>
          <w:rFonts w:hint="eastAsia" w:ascii="仿宋_GB2312" w:hAnsi="仿宋_GB2312" w:cs="仿宋_GB2312"/>
          <w:b w:val="0"/>
          <w:bCs w:val="0"/>
          <w:i w:val="0"/>
          <w:iCs w:val="0"/>
          <w:caps w:val="0"/>
          <w:color w:val="auto"/>
          <w:spacing w:val="0"/>
          <w:sz w:val="32"/>
          <w:szCs w:val="32"/>
          <w:highlight w:val="none"/>
          <w:u w:val="none"/>
          <w:shd w:val="clear"/>
          <w:lang w:val="en-US" w:eastAsia="zh-CN"/>
        </w:rPr>
        <w:t>，</w:t>
      </w:r>
      <w:r>
        <w:rPr>
          <w:rFonts w:ascii="仿宋_GB2312" w:hAnsi="宋体" w:eastAsia="仿宋_GB2312" w:cs="仿宋_GB2312"/>
          <w:b w:val="0"/>
          <w:bCs w:val="0"/>
          <w:color w:val="000000"/>
          <w:kern w:val="0"/>
          <w:sz w:val="32"/>
          <w:szCs w:val="32"/>
          <w:highlight w:val="none"/>
          <w:u w:val="none"/>
          <w:lang w:val="en-US" w:eastAsia="zh-CN" w:bidi="ar"/>
        </w:rPr>
        <w:t>加快布局新型基</w:t>
      </w:r>
      <w:r>
        <w:rPr>
          <w:rFonts w:hint="eastAsia" w:ascii="仿宋_GB2312" w:hAnsi="宋体" w:eastAsia="仿宋_GB2312" w:cs="仿宋_GB2312"/>
          <w:b w:val="0"/>
          <w:bCs w:val="0"/>
          <w:color w:val="000000"/>
          <w:kern w:val="0"/>
          <w:sz w:val="32"/>
          <w:szCs w:val="32"/>
          <w:highlight w:val="none"/>
          <w:u w:val="none"/>
          <w:lang w:val="en-US" w:eastAsia="zh-CN" w:bidi="ar"/>
        </w:rPr>
        <w:t>础设施</w:t>
      </w:r>
      <w:r>
        <w:rPr>
          <w:rFonts w:hint="eastAsia" w:ascii="仿宋_GB2312" w:hAnsi="仿宋_GB2312" w:eastAsia="仿宋_GB2312" w:cs="仿宋_GB2312"/>
          <w:b w:val="0"/>
          <w:bCs w:val="0"/>
          <w:i w:val="0"/>
          <w:iCs w:val="0"/>
          <w:caps w:val="0"/>
          <w:color w:val="auto"/>
          <w:spacing w:val="0"/>
          <w:sz w:val="32"/>
          <w:szCs w:val="32"/>
          <w:highlight w:val="none"/>
          <w:u w:val="none"/>
          <w:shd w:val="clear"/>
          <w:lang w:val="en-US" w:eastAsia="zh-CN"/>
        </w:rPr>
        <w:t>。</w:t>
      </w:r>
      <w:r>
        <w:rPr>
          <w:rFonts w:hint="eastAsia" w:ascii="仿宋_GB2312" w:hAnsi="仿宋_GB2312" w:cs="仿宋_GB2312"/>
          <w:b w:val="0"/>
          <w:bCs w:val="0"/>
          <w:i w:val="0"/>
          <w:iCs w:val="0"/>
          <w:caps w:val="0"/>
          <w:color w:val="auto"/>
          <w:spacing w:val="0"/>
          <w:sz w:val="32"/>
          <w:szCs w:val="32"/>
          <w:highlight w:val="none"/>
          <w:u w:val="none"/>
          <w:shd w:val="clear"/>
          <w:lang w:val="en-US" w:eastAsia="zh-CN"/>
        </w:rPr>
        <w:t>建设提升农村交通体系</w:t>
      </w:r>
      <w:r>
        <w:rPr>
          <w:rFonts w:hint="eastAsia" w:ascii="仿宋_GB2312" w:hAnsi="仿宋_GB2312" w:eastAsia="仿宋_GB2312" w:cs="仿宋_GB2312"/>
          <w:b w:val="0"/>
          <w:bCs w:val="0"/>
          <w:i w:val="0"/>
          <w:iCs w:val="0"/>
          <w:caps w:val="0"/>
          <w:color w:val="auto"/>
          <w:spacing w:val="0"/>
          <w:sz w:val="32"/>
          <w:szCs w:val="32"/>
          <w:highlight w:val="none"/>
          <w:u w:val="none"/>
          <w:shd w:val="clear"/>
        </w:rPr>
        <w:t>，</w:t>
      </w:r>
      <w:r>
        <w:rPr>
          <w:rFonts w:hint="eastAsia" w:ascii="仿宋_GB2312" w:hAnsi="仿宋_GB2312" w:eastAsia="仿宋_GB2312" w:cs="仿宋_GB2312"/>
          <w:b w:val="0"/>
          <w:bCs w:val="0"/>
          <w:spacing w:val="-6"/>
          <w:sz w:val="32"/>
          <w:szCs w:val="32"/>
          <w:highlight w:val="none"/>
          <w:u w:val="none"/>
        </w:rPr>
        <w:t>持续推进“四好农村路”提档升级</w:t>
      </w:r>
      <w:r>
        <w:rPr>
          <w:rFonts w:hint="eastAsia" w:ascii="仿宋_GB2312" w:hAnsi="仿宋_GB2312" w:eastAsia="仿宋_GB2312" w:cs="仿宋_GB2312"/>
          <w:b w:val="0"/>
          <w:bCs w:val="0"/>
          <w:i w:val="0"/>
          <w:iCs w:val="0"/>
          <w:caps w:val="0"/>
          <w:spacing w:val="0"/>
          <w:sz w:val="32"/>
          <w:szCs w:val="32"/>
          <w:highlight w:val="none"/>
          <w:u w:val="none"/>
          <w:shd w:val="clear"/>
        </w:rPr>
        <w:t>。</w:t>
      </w:r>
      <w:r>
        <w:rPr>
          <w:rFonts w:hint="default" w:ascii="Times New Roman" w:hAnsi="Times New Roman" w:eastAsia="仿宋_GB2312" w:cs="Times New Roman"/>
          <w:b w:val="0"/>
          <w:bCs w:val="0"/>
          <w:i w:val="0"/>
          <w:iCs w:val="0"/>
          <w:caps w:val="0"/>
          <w:color w:val="auto"/>
          <w:spacing w:val="0"/>
          <w:sz w:val="32"/>
          <w:szCs w:val="32"/>
          <w:highlight w:val="none"/>
          <w:u w:val="none"/>
          <w:shd w:val="clear"/>
          <w:lang w:eastAsia="zh-CN"/>
        </w:rPr>
        <w:t>推进自然村</w:t>
      </w:r>
      <w:r>
        <w:rPr>
          <w:rFonts w:hint="eastAsia" w:cs="Times New Roman"/>
          <w:b w:val="0"/>
          <w:bCs w:val="0"/>
          <w:i w:val="0"/>
          <w:iCs w:val="0"/>
          <w:caps w:val="0"/>
          <w:color w:val="auto"/>
          <w:spacing w:val="0"/>
          <w:sz w:val="32"/>
          <w:szCs w:val="32"/>
          <w:highlight w:val="none"/>
          <w:u w:val="none"/>
          <w:shd w:val="clear"/>
          <w:lang w:val="en-US" w:eastAsia="zh-CN"/>
        </w:rPr>
        <w:t>光纤网络</w:t>
      </w:r>
      <w:r>
        <w:rPr>
          <w:rFonts w:hint="default" w:ascii="Times New Roman" w:hAnsi="Times New Roman" w:eastAsia="仿宋_GB2312" w:cs="Times New Roman"/>
          <w:b w:val="0"/>
          <w:bCs w:val="0"/>
          <w:i w:val="0"/>
          <w:iCs w:val="0"/>
          <w:caps w:val="0"/>
          <w:color w:val="auto"/>
          <w:spacing w:val="0"/>
          <w:sz w:val="32"/>
          <w:szCs w:val="32"/>
          <w:highlight w:val="none"/>
          <w:u w:val="none"/>
          <w:shd w:val="clear"/>
          <w:lang w:eastAsia="zh-CN"/>
        </w:rPr>
        <w:t>深度覆盖与千兆网络升级，</w:t>
      </w:r>
      <w:r>
        <w:rPr>
          <w:rFonts w:hint="eastAsia" w:cs="Times New Roman"/>
          <w:b w:val="0"/>
          <w:bCs w:val="0"/>
          <w:i w:val="0"/>
          <w:iCs w:val="0"/>
          <w:caps w:val="0"/>
          <w:color w:val="auto"/>
          <w:spacing w:val="0"/>
          <w:sz w:val="32"/>
          <w:szCs w:val="32"/>
          <w:highlight w:val="none"/>
          <w:u w:val="none"/>
          <w:shd w:val="clear"/>
          <w:lang w:val="en-US" w:eastAsia="zh-CN"/>
        </w:rPr>
        <w:t>推进</w:t>
      </w:r>
      <w:r>
        <w:rPr>
          <w:rFonts w:hint="eastAsia" w:cs="Times New Roman"/>
          <w:b w:val="0"/>
          <w:bCs w:val="0"/>
          <w:i w:val="0"/>
          <w:iCs w:val="0"/>
          <w:caps w:val="0"/>
          <w:color w:val="auto"/>
          <w:spacing w:val="0"/>
          <w:sz w:val="32"/>
          <w:szCs w:val="32"/>
          <w:highlight w:val="none"/>
          <w:u w:val="none"/>
          <w:shd w:val="clear"/>
          <w:lang w:eastAsia="zh-CN"/>
        </w:rPr>
        <w:t>农村宽带向千兆光网升级。</w:t>
      </w:r>
      <w:r>
        <w:rPr>
          <w:rFonts w:hint="eastAsia" w:ascii="仿宋_GB2312" w:hAnsi="仿宋_GB2312" w:eastAsia="仿宋_GB2312" w:cs="仿宋_GB2312"/>
          <w:sz w:val="32"/>
          <w:szCs w:val="32"/>
          <w:highlight w:val="none"/>
          <w:u w:val="none"/>
        </w:rPr>
        <w:t>升级农村电商服务站点网络</w:t>
      </w:r>
      <w:r>
        <w:rPr>
          <w:rFonts w:hint="eastAsia" w:cs="Times New Roman"/>
          <w:i w:val="0"/>
          <w:iCs w:val="0"/>
          <w:caps w:val="0"/>
          <w:color w:val="auto"/>
          <w:spacing w:val="0"/>
          <w:sz w:val="32"/>
          <w:szCs w:val="32"/>
          <w:highlight w:val="none"/>
          <w:u w:val="none"/>
          <w:shd w:val="clear"/>
          <w:lang w:val="en-US" w:eastAsia="zh-CN"/>
        </w:rPr>
        <w:t>。</w:t>
      </w:r>
      <w:r>
        <w:rPr>
          <w:rFonts w:ascii="仿宋_GB2312" w:hAnsi="宋体" w:eastAsia="仿宋_GB2312" w:cs="仿宋_GB2312"/>
          <w:color w:val="000000"/>
          <w:kern w:val="0"/>
          <w:sz w:val="32"/>
          <w:szCs w:val="32"/>
          <w:highlight w:val="none"/>
          <w:u w:val="none"/>
          <w:lang w:val="en-US" w:eastAsia="zh-CN" w:bidi="ar"/>
        </w:rPr>
        <w:t>推行城乡统一建设管护机制</w:t>
      </w:r>
      <w:r>
        <w:rPr>
          <w:rFonts w:hint="eastAsia" w:ascii="仿宋_GB2312" w:hAnsi="宋体" w:cs="仿宋_GB2312"/>
          <w:color w:val="000000"/>
          <w:kern w:val="0"/>
          <w:sz w:val="32"/>
          <w:szCs w:val="32"/>
          <w:highlight w:val="none"/>
          <w:u w:val="none"/>
          <w:lang w:val="en-US" w:eastAsia="zh-CN" w:bidi="ar"/>
        </w:rPr>
        <w:t>。</w:t>
      </w:r>
    </w:p>
    <w:p w14:paraId="15BCB04B">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122" w:name="_Toc20787"/>
      <w:bookmarkStart w:id="123" w:name="_Toc21765"/>
      <w:bookmarkStart w:id="124" w:name="_Toc8814"/>
      <w:bookmarkStart w:id="125" w:name="_Toc9048"/>
      <w:bookmarkStart w:id="126" w:name="_Toc19711"/>
      <w:r>
        <w:rPr>
          <w:rFonts w:hint="eastAsia" w:ascii="方正楷体_GB2312" w:hAnsi="方正楷体_GB2312" w:eastAsia="方正楷体_GB2312" w:cs="方正楷体_GB2312"/>
          <w:b w:val="0"/>
          <w:bCs w:val="0"/>
          <w:color w:val="auto"/>
          <w:sz w:val="32"/>
          <w:szCs w:val="32"/>
          <w:highlight w:val="none"/>
          <w:u w:val="none"/>
          <w:lang w:val="en-US" w:eastAsia="zh-CN"/>
        </w:rPr>
        <w:t>提升农村人居环境舒适度</w:t>
      </w:r>
      <w:bookmarkEnd w:id="122"/>
      <w:bookmarkEnd w:id="123"/>
      <w:bookmarkEnd w:id="124"/>
      <w:bookmarkEnd w:id="125"/>
      <w:bookmarkEnd w:id="126"/>
    </w:p>
    <w:p w14:paraId="5F09414F">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Times New Roman" w:hAnsi="Times New Roman"/>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rPr>
        <w:t>全面推进</w:t>
      </w:r>
      <w:r>
        <w:rPr>
          <w:rFonts w:hint="eastAsia" w:ascii="仿宋_GB2312" w:hAnsi="仿宋_GB2312" w:eastAsia="仿宋_GB2312" w:cs="仿宋_GB2312"/>
          <w:b w:val="0"/>
          <w:bCs w:val="0"/>
          <w:color w:val="auto"/>
          <w:sz w:val="32"/>
          <w:szCs w:val="32"/>
          <w:highlight w:val="none"/>
          <w:u w:val="none"/>
          <w:lang w:val="en-US" w:eastAsia="zh-CN"/>
        </w:rPr>
        <w:t>垃圾、污水、厕所、三线</w:t>
      </w:r>
      <w:r>
        <w:rPr>
          <w:rFonts w:hint="eastAsia" w:ascii="仿宋_GB2312" w:hAnsi="仿宋_GB2312" w:eastAsia="仿宋_GB2312" w:cs="仿宋_GB2312"/>
          <w:b w:val="0"/>
          <w:bCs w:val="0"/>
          <w:color w:val="auto"/>
          <w:sz w:val="32"/>
          <w:szCs w:val="32"/>
          <w:highlight w:val="none"/>
          <w:u w:val="none"/>
        </w:rPr>
        <w:t>“四整治”</w:t>
      </w:r>
      <w:r>
        <w:rPr>
          <w:rFonts w:hint="eastAsia" w:ascii="仿宋_GB2312" w:hAnsi="仿宋_GB2312" w:eastAsia="仿宋_GB2312" w:cs="仿宋_GB2312"/>
          <w:b w:val="0"/>
          <w:bCs w:val="0"/>
          <w:color w:val="auto"/>
          <w:sz w:val="32"/>
          <w:szCs w:val="32"/>
          <w:highlight w:val="none"/>
          <w:u w:val="none"/>
          <w:lang w:val="en-US" w:eastAsia="zh-CN"/>
        </w:rPr>
        <w:t>工作，</w:t>
      </w:r>
      <w:r>
        <w:rPr>
          <w:rFonts w:hint="eastAsia" w:ascii="仿宋_GB2312" w:hAnsi="仿宋_GB2312" w:eastAsia="仿宋_GB2312" w:cs="仿宋_GB2312"/>
          <w:color w:val="auto"/>
          <w:sz w:val="32"/>
          <w:szCs w:val="32"/>
          <w:highlight w:val="none"/>
          <w:u w:val="none"/>
          <w:lang w:val="en-US" w:eastAsia="zh-CN"/>
        </w:rPr>
        <w:t>推进生活垃圾源头分类减量、就地就近处理和资源化利用，</w:t>
      </w:r>
      <w:r>
        <w:rPr>
          <w:rFonts w:hint="eastAsia" w:ascii="仿宋_GB2312" w:hAnsi="仿宋_GB2312" w:eastAsia="仿宋_GB2312" w:cs="仿宋_GB2312"/>
          <w:b w:val="0"/>
          <w:bCs w:val="0"/>
          <w:color w:val="auto"/>
          <w:sz w:val="32"/>
          <w:szCs w:val="32"/>
          <w:highlight w:val="none"/>
          <w:u w:val="none"/>
          <w:lang w:val="en-US" w:eastAsia="zh-CN"/>
        </w:rPr>
        <w:t>开展农村生活污水老旧设施治理、管网改造提升，</w:t>
      </w:r>
      <w:r>
        <w:rPr>
          <w:rFonts w:hint="eastAsia" w:ascii="仿宋_GB2312" w:hAnsi="仿宋_GB2312" w:eastAsia="仿宋_GB2312" w:cs="仿宋_GB2312"/>
          <w:color w:val="auto"/>
          <w:sz w:val="32"/>
          <w:szCs w:val="32"/>
          <w:highlight w:val="none"/>
          <w:u w:val="none"/>
          <w:lang w:val="en-US" w:eastAsia="zh-CN"/>
        </w:rPr>
        <w:t>按需开展公厕环境、无障碍等改造提升，</w:t>
      </w:r>
      <w:r>
        <w:rPr>
          <w:rFonts w:hint="eastAsia" w:ascii="仿宋_GB2312" w:hAnsi="仿宋_GB2312" w:eastAsia="仿宋_GB2312" w:cs="仿宋_GB2312"/>
          <w:color w:val="000000"/>
          <w:kern w:val="0"/>
          <w:sz w:val="32"/>
          <w:szCs w:val="32"/>
          <w:highlight w:val="none"/>
          <w:u w:val="none"/>
          <w:lang w:val="en-US" w:eastAsia="zh-CN" w:bidi="ar"/>
        </w:rPr>
        <w:t>加强镇村“三线”整治</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b w:val="0"/>
          <w:bCs w:val="0"/>
          <w:color w:val="auto"/>
          <w:sz w:val="32"/>
          <w:szCs w:val="32"/>
          <w:highlight w:val="none"/>
          <w:u w:val="none"/>
          <w:vertAlign w:val="baseline"/>
          <w:lang w:val="en-US" w:eastAsia="zh-CN"/>
        </w:rPr>
        <w:t>推进村庄绿化美化，</w:t>
      </w:r>
      <w:r>
        <w:rPr>
          <w:rFonts w:hint="eastAsia" w:ascii="仿宋_GB2312" w:hAnsi="仿宋_GB2312" w:eastAsia="仿宋_GB2312" w:cs="仿宋_GB2312"/>
          <w:b w:val="0"/>
          <w:bCs w:val="0"/>
          <w:color w:val="auto"/>
          <w:sz w:val="32"/>
          <w:szCs w:val="32"/>
          <w:highlight w:val="none"/>
          <w:u w:val="none"/>
          <w:lang w:val="en-US" w:eastAsia="zh-CN"/>
        </w:rPr>
        <w:t>强化农房风貌管控，推动“四沿”区域及其他重点区域、节点以及典型镇村“赤膊房”品质提升工作，禁止新增削坡建房隐患点</w:t>
      </w:r>
      <w:r>
        <w:rPr>
          <w:rFonts w:hint="eastAsia" w:ascii="仿宋_GB2312" w:hAnsi="仿宋_GB2312" w:eastAsia="仿宋_GB2312" w:cs="仿宋_GB2312"/>
          <w:b w:val="0"/>
          <w:bCs w:val="0"/>
          <w:color w:val="auto"/>
          <w:sz w:val="32"/>
          <w:szCs w:val="32"/>
          <w:highlight w:val="none"/>
          <w:u w:val="none"/>
          <w:vertAlign w:val="baseline"/>
          <w:lang w:val="en-US" w:eastAsia="zh-CN"/>
        </w:rPr>
        <w:t>。</w:t>
      </w:r>
      <w:r>
        <w:rPr>
          <w:rFonts w:hint="eastAsia" w:ascii="仿宋_GB2312" w:hAnsi="仿宋_GB2312" w:eastAsia="仿宋_GB2312" w:cs="仿宋_GB2312"/>
          <w:color w:val="000000"/>
          <w:kern w:val="0"/>
          <w:sz w:val="32"/>
          <w:szCs w:val="32"/>
          <w:highlight w:val="none"/>
          <w:u w:val="none"/>
          <w:lang w:val="en-US" w:eastAsia="zh-CN" w:bidi="ar"/>
        </w:rPr>
        <w:t>打造一批乡村绿化景观带、 美丽乡村廊道。持续排查整治农村黑臭水体，推进生态清洁小流域建设，改善农村生态环境质量。</w:t>
      </w:r>
    </w:p>
    <w:p w14:paraId="220EADD2">
      <w:pPr>
        <w:keepNext w:val="0"/>
        <w:keepLines w:val="0"/>
        <w:numPr>
          <w:ilvl w:val="0"/>
          <w:numId w:val="2"/>
        </w:numPr>
        <w:kinsoku w:val="0"/>
        <w:spacing w:line="600" w:lineRule="exact"/>
        <w:ind w:firstLine="420" w:firstLineChars="0"/>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127" w:name="_Toc31421"/>
      <w:bookmarkStart w:id="128" w:name="_Toc20688"/>
      <w:bookmarkStart w:id="129" w:name="_Toc6317"/>
      <w:bookmarkStart w:id="130" w:name="_Toc6774"/>
      <w:bookmarkStart w:id="131" w:name="_Toc11889"/>
      <w:r>
        <w:rPr>
          <w:rFonts w:hint="eastAsia" w:ascii="方正楷体_GB2312" w:hAnsi="方正楷体_GB2312" w:eastAsia="方正楷体_GB2312" w:cs="方正楷体_GB2312"/>
          <w:b w:val="0"/>
          <w:bCs w:val="0"/>
          <w:color w:val="auto"/>
          <w:sz w:val="32"/>
          <w:szCs w:val="32"/>
          <w:highlight w:val="none"/>
          <w:u w:val="none"/>
          <w:lang w:val="en-US" w:eastAsia="zh-CN"/>
        </w:rPr>
        <w:t>促进农村基本公共服务提质增效</w:t>
      </w:r>
      <w:bookmarkEnd w:id="127"/>
      <w:bookmarkEnd w:id="128"/>
      <w:bookmarkEnd w:id="129"/>
      <w:bookmarkEnd w:id="130"/>
      <w:bookmarkEnd w:id="131"/>
    </w:p>
    <w:p w14:paraId="0BCD56D9">
      <w:pPr>
        <w:keepNext w:val="0"/>
        <w:keepLines w:val="0"/>
        <w:widowControl w:val="0"/>
        <w:suppressLineNumbers w:val="0"/>
        <w:spacing w:line="600" w:lineRule="exact"/>
        <w:ind w:firstLine="640" w:firstLineChars="200"/>
        <w:jc w:val="both"/>
        <w:rPr>
          <w:rFonts w:hint="eastAsia" w:ascii="仿宋_GB2312" w:hAnsi="仿宋_GB2312" w:eastAsia="仿宋_GB2312" w:cs="仿宋_GB2312"/>
          <w:sz w:val="32"/>
          <w:szCs w:val="32"/>
          <w:highlight w:val="none"/>
          <w:u w:val="none"/>
          <w:lang w:val="en-US"/>
        </w:rPr>
      </w:pPr>
      <w:r>
        <w:rPr>
          <w:rFonts w:hint="eastAsia" w:ascii="仿宋_GB2312" w:hAnsi="仿宋_GB2312" w:eastAsia="仿宋_GB2312" w:cs="仿宋_GB2312"/>
          <w:b w:val="0"/>
          <w:bCs w:val="0"/>
          <w:i w:val="0"/>
          <w:iCs w:val="0"/>
          <w:caps w:val="0"/>
          <w:color w:val="auto"/>
          <w:spacing w:val="0"/>
          <w:sz w:val="32"/>
          <w:szCs w:val="32"/>
          <w:highlight w:val="none"/>
          <w:u w:val="none"/>
          <w:shd w:val="clear"/>
          <w:lang w:val="en-US" w:eastAsia="zh-CN"/>
        </w:rPr>
        <w:t>推动义务教育优质均衡发展和城乡教育共同体建设</w:t>
      </w:r>
      <w:r>
        <w:rPr>
          <w:rFonts w:hint="eastAsia" w:ascii="仿宋_GB2312" w:hAnsi="仿宋_GB2312" w:eastAsia="仿宋_GB2312" w:cs="仿宋_GB2312"/>
          <w:i w:val="0"/>
          <w:iCs w:val="0"/>
          <w:caps w:val="0"/>
          <w:color w:val="auto"/>
          <w:spacing w:val="0"/>
          <w:sz w:val="32"/>
          <w:szCs w:val="32"/>
          <w:highlight w:val="none"/>
          <w:u w:val="none"/>
          <w:shd w:val="clear"/>
          <w:lang w:val="en-US" w:eastAsia="zh-CN"/>
        </w:rPr>
        <w:t>，保留并办好必要的乡村小规模学校和幼儿园，强化农村普惠性学前教育能力建设，加强义务教育学校标准化建设。</w:t>
      </w:r>
      <w:r>
        <w:rPr>
          <w:rFonts w:hint="eastAsia" w:ascii="仿宋_GB2312" w:hAnsi="仿宋_GB2312" w:eastAsia="仿宋_GB2312" w:cs="仿宋_GB2312"/>
          <w:b w:val="0"/>
          <w:bCs w:val="0"/>
          <w:i w:val="0"/>
          <w:iCs w:val="0"/>
          <w:caps w:val="0"/>
          <w:color w:val="auto"/>
          <w:spacing w:val="0"/>
          <w:sz w:val="32"/>
          <w:szCs w:val="32"/>
          <w:highlight w:val="none"/>
          <w:u w:val="none"/>
          <w:shd w:val="clear"/>
          <w:lang w:val="en-US" w:eastAsia="zh-CN"/>
        </w:rPr>
        <w:t>强化乡镇教师队伍建设工作，</w:t>
      </w:r>
      <w:r>
        <w:rPr>
          <w:rFonts w:hint="eastAsia" w:ascii="仿宋_GB2312" w:hAnsi="仿宋_GB2312" w:eastAsia="仿宋_GB2312" w:cs="仿宋_GB2312"/>
          <w:i w:val="0"/>
          <w:iCs w:val="0"/>
          <w:caps w:val="0"/>
          <w:color w:val="auto"/>
          <w:spacing w:val="0"/>
          <w:sz w:val="32"/>
          <w:szCs w:val="32"/>
          <w:highlight w:val="none"/>
          <w:u w:val="none"/>
          <w:shd w:val="clear"/>
          <w:lang w:val="en-US" w:eastAsia="zh-CN"/>
        </w:rPr>
        <w:t>深入实施“公费定向培养”、中小学“百千万人才培养工程”，持续实施乡镇教师培训、薪火优秀乡村教师培养资助计划。</w:t>
      </w:r>
      <w:r>
        <w:rPr>
          <w:rFonts w:hint="eastAsia" w:ascii="仿宋_GB2312" w:hAnsi="仿宋_GB2312" w:eastAsia="仿宋_GB2312" w:cs="仿宋_GB2312"/>
          <w:b w:val="0"/>
          <w:bCs w:val="0"/>
          <w:color w:val="auto"/>
          <w:sz w:val="32"/>
          <w:szCs w:val="32"/>
          <w:highlight w:val="none"/>
          <w:u w:val="none"/>
        </w:rPr>
        <w:t>优化乡村医疗卫生机构布局，</w:t>
      </w:r>
      <w:r>
        <w:rPr>
          <w:rFonts w:hint="eastAsia" w:ascii="仿宋_GB2312" w:hAnsi="仿宋_GB2312" w:eastAsia="仿宋_GB2312" w:cs="仿宋_GB2312"/>
          <w:color w:val="auto"/>
          <w:sz w:val="32"/>
          <w:szCs w:val="32"/>
          <w:highlight w:val="none"/>
          <w:u w:val="none"/>
          <w:lang w:eastAsia="zh-CN"/>
        </w:rPr>
        <w:t>支持</w:t>
      </w:r>
      <w:r>
        <w:rPr>
          <w:rFonts w:hint="eastAsia" w:ascii="仿宋_GB2312" w:hAnsi="仿宋_GB2312" w:eastAsia="仿宋_GB2312" w:cs="仿宋_GB2312"/>
          <w:color w:val="auto"/>
          <w:sz w:val="32"/>
          <w:szCs w:val="32"/>
          <w:highlight w:val="none"/>
          <w:u w:val="none"/>
          <w:lang w:val="en-US" w:eastAsia="zh-CN"/>
        </w:rPr>
        <w:t>推进</w:t>
      </w:r>
      <w:r>
        <w:rPr>
          <w:rFonts w:hint="eastAsia" w:ascii="仿宋_GB2312" w:hAnsi="仿宋_GB2312" w:eastAsia="仿宋_GB2312" w:cs="仿宋_GB2312"/>
          <w:color w:val="auto"/>
          <w:sz w:val="32"/>
          <w:szCs w:val="32"/>
          <w:highlight w:val="none"/>
          <w:u w:val="none"/>
        </w:rPr>
        <w:t>乡镇卫生院</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社区服务中心标准化全覆盖</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b w:val="0"/>
          <w:bCs w:val="0"/>
          <w:color w:val="auto"/>
          <w:sz w:val="32"/>
          <w:szCs w:val="32"/>
          <w:highlight w:val="none"/>
          <w:u w:val="none"/>
          <w:lang w:val="en-US" w:eastAsia="zh-CN"/>
        </w:rPr>
        <w:t>全面推进紧密型县域医共体建设，</w:t>
      </w:r>
      <w:r>
        <w:rPr>
          <w:rFonts w:hint="eastAsia" w:ascii="仿宋_GB2312" w:hAnsi="仿宋_GB2312" w:eastAsia="仿宋_GB2312" w:cs="仿宋_GB2312"/>
          <w:i w:val="0"/>
          <w:iCs w:val="0"/>
          <w:caps w:val="0"/>
          <w:color w:val="auto"/>
          <w:spacing w:val="0"/>
          <w:sz w:val="32"/>
          <w:szCs w:val="32"/>
          <w:highlight w:val="none"/>
          <w:u w:val="none"/>
          <w:shd w:val="clear" w:fill="auto"/>
        </w:rPr>
        <w:t>实行县乡一体化管理</w:t>
      </w:r>
      <w:r>
        <w:rPr>
          <w:rFonts w:hint="eastAsia" w:ascii="仿宋_GB2312" w:hAnsi="仿宋_GB2312" w:eastAsia="仿宋_GB2312" w:cs="仿宋_GB2312"/>
          <w:i w:val="0"/>
          <w:iCs w:val="0"/>
          <w:caps w:val="0"/>
          <w:color w:val="auto"/>
          <w:spacing w:val="0"/>
          <w:sz w:val="32"/>
          <w:szCs w:val="32"/>
          <w:highlight w:val="none"/>
          <w:u w:val="none"/>
          <w:shd w:val="clear" w:fill="auto"/>
          <w:lang w:eastAsia="zh-CN"/>
        </w:rPr>
        <w:t>。</w:t>
      </w:r>
      <w:r>
        <w:rPr>
          <w:rFonts w:hint="eastAsia" w:ascii="仿宋_GB2312" w:hAnsi="仿宋_GB2312" w:eastAsia="仿宋_GB2312" w:cs="仿宋_GB2312"/>
          <w:color w:val="000000"/>
          <w:kern w:val="0"/>
          <w:sz w:val="32"/>
          <w:szCs w:val="32"/>
          <w:highlight w:val="none"/>
          <w:u w:val="none"/>
          <w:lang w:val="en-US" w:eastAsia="zh-CN" w:bidi="ar"/>
        </w:rPr>
        <w:t>落实农村基本医保参保长效机制。</w:t>
      </w:r>
      <w:r>
        <w:rPr>
          <w:rFonts w:hint="eastAsia" w:ascii="仿宋_GB2312" w:hAnsi="仿宋_GB2312" w:eastAsia="仿宋_GB2312" w:cs="仿宋_GB2312"/>
          <w:b w:val="0"/>
          <w:bCs w:val="0"/>
          <w:color w:val="000000"/>
          <w:kern w:val="0"/>
          <w:sz w:val="32"/>
          <w:szCs w:val="32"/>
          <w:highlight w:val="none"/>
          <w:u w:val="none"/>
          <w:lang w:val="en-US" w:eastAsia="zh-CN" w:bidi="ar"/>
        </w:rPr>
        <w:t>推动养老服务扩容提质增效，</w:t>
      </w:r>
      <w:r>
        <w:rPr>
          <w:rFonts w:hint="eastAsia" w:ascii="仿宋_GB2312" w:hAnsi="仿宋_GB2312" w:eastAsia="仿宋_GB2312" w:cs="仿宋_GB2312"/>
          <w:color w:val="auto"/>
          <w:sz w:val="32"/>
          <w:szCs w:val="32"/>
          <w:highlight w:val="none"/>
          <w:u w:val="none"/>
          <w:lang w:val="en-US" w:eastAsia="zh-CN"/>
        </w:rPr>
        <w:t>改造提升养老服务设施，推进特殊困难老年人家庭适老化改造，优化“长者饭堂”服务，全面推广个人养老金制度。做好流动儿童、留守儿童、妇女、老年人、残疾人等关心关爱服务。</w:t>
      </w:r>
    </w:p>
    <w:p w14:paraId="5A26F5E2">
      <w:pPr>
        <w:keepNext w:val="0"/>
        <w:keepLines w:val="0"/>
        <w:numPr>
          <w:ilvl w:val="0"/>
          <w:numId w:val="2"/>
        </w:numPr>
        <w:kinsoku w:val="0"/>
        <w:spacing w:line="600" w:lineRule="exact"/>
        <w:ind w:firstLine="420" w:firstLineChars="0"/>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132" w:name="_Toc5533"/>
      <w:bookmarkStart w:id="133" w:name="_Toc9554"/>
      <w:bookmarkStart w:id="134" w:name="_Toc6835"/>
      <w:bookmarkStart w:id="135" w:name="_Toc9883"/>
      <w:bookmarkStart w:id="136" w:name="_Toc24704"/>
      <w:r>
        <w:rPr>
          <w:rFonts w:hint="eastAsia" w:ascii="方正楷体_GB2312" w:hAnsi="方正楷体_GB2312" w:eastAsia="方正楷体_GB2312" w:cs="方正楷体_GB2312"/>
          <w:b w:val="0"/>
          <w:bCs w:val="0"/>
          <w:color w:val="auto"/>
          <w:sz w:val="32"/>
          <w:szCs w:val="32"/>
          <w:highlight w:val="none"/>
          <w:u w:val="none"/>
          <w:lang w:val="en-US" w:eastAsia="zh-CN"/>
        </w:rPr>
        <w:t>提升乡村治理水平</w:t>
      </w:r>
      <w:bookmarkEnd w:id="132"/>
      <w:bookmarkEnd w:id="133"/>
      <w:bookmarkEnd w:id="134"/>
      <w:bookmarkEnd w:id="135"/>
      <w:bookmarkEnd w:id="136"/>
    </w:p>
    <w:p w14:paraId="4D13A0C9">
      <w:pPr>
        <w:keepNext w:val="0"/>
        <w:keepLines w:val="0"/>
        <w:pageBreakBefore w:val="0"/>
        <w:widowControl w:val="0"/>
        <w:kinsoku w:val="0"/>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b w:val="0"/>
          <w:bCs w:val="0"/>
          <w:color w:val="000000"/>
          <w:kern w:val="0"/>
          <w:sz w:val="32"/>
          <w:szCs w:val="32"/>
          <w:highlight w:val="none"/>
          <w:u w:val="none"/>
          <w:lang w:val="en-US" w:eastAsia="zh-CN" w:bidi="ar"/>
        </w:rPr>
      </w:pPr>
      <w:r>
        <w:rPr>
          <w:rFonts w:hint="eastAsia" w:ascii="仿宋_GB2312" w:hAnsi="仿宋_GB2312" w:eastAsia="仿宋_GB2312" w:cs="仿宋_GB2312"/>
          <w:b w:val="0"/>
          <w:bCs w:val="0"/>
          <w:color w:val="000000"/>
          <w:kern w:val="0"/>
          <w:sz w:val="32"/>
          <w:szCs w:val="32"/>
          <w:highlight w:val="none"/>
          <w:u w:val="none"/>
          <w:lang w:val="en-US" w:eastAsia="zh-CN" w:bidi="ar"/>
        </w:rPr>
        <w:t>构建党建引领的自治、法治、德治相结合的乡村治理体系，持续加强乡镇领导班子和干部队伍建设，</w:t>
      </w:r>
      <w:r>
        <w:rPr>
          <w:rFonts w:hint="eastAsia" w:ascii="仿宋_GB2312" w:hAnsi="仿宋_GB2312" w:eastAsia="仿宋_GB2312" w:cs="仿宋_GB2312"/>
          <w:b w:val="0"/>
          <w:bCs w:val="0"/>
          <w:color w:val="auto"/>
          <w:sz w:val="32"/>
          <w:szCs w:val="32"/>
          <w:highlight w:val="none"/>
          <w:u w:val="none"/>
          <w:lang w:val="en-US" w:eastAsia="zh-CN"/>
        </w:rPr>
        <w:t>增强基层党组织领导能力。</w:t>
      </w:r>
      <w:r>
        <w:rPr>
          <w:rFonts w:hint="eastAsia" w:ascii="仿宋_GB2312" w:hAnsi="仿宋_GB2312" w:eastAsia="仿宋_GB2312" w:cs="仿宋_GB2312"/>
          <w:b w:val="0"/>
          <w:bCs w:val="0"/>
          <w:color w:val="000000"/>
          <w:kern w:val="0"/>
          <w:sz w:val="32"/>
          <w:szCs w:val="32"/>
          <w:highlight w:val="none"/>
          <w:u w:val="none"/>
          <w:lang w:val="en-US" w:eastAsia="zh-CN" w:bidi="ar"/>
        </w:rPr>
        <w:t>严格基层干部监督管理，持续深化对村党组织巡察，整治不正之风。落实村干部基本报酬。</w:t>
      </w:r>
      <w:bookmarkStart w:id="137" w:name="_Toc13696"/>
      <w:bookmarkStart w:id="138" w:name="_Toc31470"/>
      <w:bookmarkStart w:id="139" w:name="_Toc22122"/>
      <w:bookmarkStart w:id="140" w:name="_Toc22253"/>
      <w:bookmarkStart w:id="141" w:name="_Toc30928"/>
      <w:bookmarkStart w:id="142" w:name="_Toc12835"/>
      <w:bookmarkStart w:id="143" w:name="_Toc21994"/>
      <w:bookmarkStart w:id="144" w:name="_Toc27194"/>
      <w:bookmarkStart w:id="145" w:name="_Toc8703"/>
      <w:bookmarkStart w:id="146" w:name="_Toc12082"/>
      <w:bookmarkStart w:id="147" w:name="_Toc29011"/>
      <w:bookmarkStart w:id="148" w:name="_Toc19316"/>
      <w:bookmarkStart w:id="149" w:name="_Toc23539"/>
      <w:bookmarkStart w:id="150" w:name="_Toc11118"/>
      <w:bookmarkStart w:id="151" w:name="_Toc13732"/>
      <w:bookmarkStart w:id="152" w:name="_Toc5308"/>
      <w:r>
        <w:rPr>
          <w:rFonts w:hint="eastAsia" w:ascii="仿宋_GB2312" w:hAnsi="仿宋_GB2312" w:eastAsia="仿宋_GB2312" w:cs="仿宋_GB2312"/>
          <w:b w:val="0"/>
          <w:bCs w:val="0"/>
          <w:color w:val="auto"/>
          <w:sz w:val="32"/>
          <w:szCs w:val="32"/>
          <w:highlight w:val="none"/>
          <w:u w:val="none"/>
          <w:lang w:val="en-US" w:eastAsia="zh-CN"/>
        </w:rPr>
        <w:t>持续推进“英州夜谈”“清单制”等自治模式，加强法律顾问、援助等工作。</w:t>
      </w:r>
      <w:r>
        <w:rPr>
          <w:rFonts w:hint="eastAsia" w:ascii="仿宋_GB2312" w:hAnsi="仿宋_GB2312" w:eastAsia="仿宋_GB2312" w:cs="仿宋_GB2312"/>
          <w:b w:val="0"/>
          <w:bCs w:val="0"/>
          <w:i w:val="0"/>
          <w:iCs w:val="0"/>
          <w:caps w:val="0"/>
          <w:color w:val="000000"/>
          <w:spacing w:val="0"/>
          <w:sz w:val="32"/>
          <w:szCs w:val="32"/>
          <w:highlight w:val="none"/>
          <w:u w:val="none"/>
          <w:shd w:val="clear" w:fill="FFFFFF"/>
          <w:lang w:eastAsia="zh-CN"/>
        </w:rPr>
        <w:t>坚持和发展新时代“枫桥经验”。</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Pr>
          <w:rFonts w:hint="eastAsia" w:ascii="仿宋_GB2312" w:hAnsi="仿宋_GB2312" w:eastAsia="仿宋_GB2312" w:cs="仿宋_GB2312"/>
          <w:b w:val="0"/>
          <w:bCs w:val="0"/>
          <w:color w:val="auto"/>
          <w:sz w:val="32"/>
          <w:szCs w:val="32"/>
          <w:highlight w:val="none"/>
          <w:u w:val="none"/>
          <w:shd w:val="clear" w:color="auto" w:fill="FFFFFF"/>
        </w:rPr>
        <w:t>加强农村数字化监管，加快“雪亮工程”建设</w:t>
      </w:r>
      <w:r>
        <w:rPr>
          <w:rFonts w:hint="eastAsia" w:ascii="仿宋_GB2312" w:hAnsi="仿宋_GB2312" w:eastAsia="仿宋_GB2312" w:cs="仿宋_GB2312"/>
          <w:b w:val="0"/>
          <w:bCs w:val="0"/>
          <w:color w:val="auto"/>
          <w:sz w:val="32"/>
          <w:szCs w:val="32"/>
          <w:highlight w:val="none"/>
          <w:u w:val="none"/>
          <w:shd w:val="clear" w:color="auto" w:fill="FFFFFF"/>
          <w:lang w:eastAsia="zh-CN"/>
        </w:rPr>
        <w:t>，推进远程医疗、名校课堂进村</w:t>
      </w:r>
      <w:r>
        <w:rPr>
          <w:rFonts w:hint="eastAsia" w:ascii="仿宋_GB2312" w:hAnsi="仿宋_GB2312" w:eastAsia="仿宋_GB2312" w:cs="仿宋_GB2312"/>
          <w:b w:val="0"/>
          <w:bCs w:val="0"/>
          <w:color w:val="auto"/>
          <w:sz w:val="32"/>
          <w:szCs w:val="32"/>
          <w:highlight w:val="none"/>
          <w:u w:val="none"/>
          <w:shd w:val="clear" w:color="auto" w:fill="FFFFFF"/>
          <w:lang w:val="en-US" w:eastAsia="zh-CN"/>
        </w:rPr>
        <w:t>。加强农村精神文明建设，</w:t>
      </w:r>
      <w:r>
        <w:rPr>
          <w:rFonts w:hint="eastAsia" w:ascii="仿宋_GB2312" w:hAnsi="仿宋_GB2312" w:eastAsia="仿宋_GB2312" w:cs="仿宋_GB2312"/>
          <w:b w:val="0"/>
          <w:bCs w:val="0"/>
          <w:color w:val="000000"/>
          <w:kern w:val="0"/>
          <w:sz w:val="32"/>
          <w:szCs w:val="32"/>
          <w:highlight w:val="none"/>
          <w:u w:val="none"/>
          <w:lang w:val="en-US" w:eastAsia="zh-CN" w:bidi="ar"/>
        </w:rPr>
        <w:t>加强农村思想政治工作，弘扬和践行社会主义核心价值观，</w:t>
      </w:r>
      <w:r>
        <w:rPr>
          <w:rFonts w:hint="eastAsia" w:ascii="仿宋_GB2312" w:hAnsi="仿宋_GB2312" w:eastAsia="仿宋_GB2312" w:cs="仿宋_GB2312"/>
          <w:b w:val="0"/>
          <w:bCs w:val="0"/>
          <w:color w:val="auto"/>
          <w:sz w:val="32"/>
          <w:szCs w:val="32"/>
          <w:highlight w:val="none"/>
          <w:u w:val="none"/>
          <w:shd w:val="clear" w:color="auto" w:fill="FFFFFF"/>
          <w:lang w:val="en-US" w:eastAsia="zh-CN"/>
        </w:rPr>
        <w:t>持续推动农村移风易俗，推进农村农耕文物、农耕遗址保护与利用与典型镇村相结合。</w:t>
      </w:r>
      <w:r>
        <w:rPr>
          <w:rFonts w:hint="eastAsia" w:ascii="仿宋_GB2312" w:hAnsi="仿宋_GB2312" w:eastAsia="仿宋_GB2312" w:cs="仿宋_GB2312"/>
          <w:b w:val="0"/>
          <w:bCs w:val="0"/>
          <w:color w:val="000000"/>
          <w:kern w:val="0"/>
          <w:sz w:val="32"/>
          <w:szCs w:val="32"/>
          <w:highlight w:val="none"/>
          <w:u w:val="none"/>
          <w:lang w:val="en-US" w:eastAsia="zh-CN" w:bidi="ar"/>
        </w:rPr>
        <w:t>加强县乡村应急管理和消防安全体系建设。</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A59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tcPr>
          <w:p w14:paraId="6F7E4F75">
            <w:pPr>
              <w:keepNext w:val="0"/>
              <w:keepLines w:val="0"/>
              <w:numPr>
                <w:ilvl w:val="-1"/>
                <w:numId w:val="0"/>
              </w:numPr>
              <w:suppressLineNumbers w:val="0"/>
              <w:snapToGrid w:val="0"/>
              <w:spacing w:before="0" w:beforeAutospacing="0" w:after="0" w:afterAutospacing="0" w:line="240" w:lineRule="auto"/>
              <w:ind w:left="0" w:leftChars="0" w:right="0"/>
              <w:jc w:val="center"/>
              <w:rPr>
                <w:rFonts w:hint="default"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专栏6 宜居宜业和美乡村建设</w:t>
            </w:r>
          </w:p>
        </w:tc>
      </w:tr>
      <w:tr w14:paraId="5B7E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tcPr>
          <w:p w14:paraId="6C4E38A7">
            <w:pPr>
              <w:pStyle w:val="3"/>
              <w:keepNext w:val="0"/>
              <w:keepLines w:val="0"/>
              <w:widowControl w:val="0"/>
              <w:numPr>
                <w:ilvl w:val="1"/>
                <w:numId w:val="0"/>
              </w:numPr>
              <w:suppressLineNumbers w:val="0"/>
              <w:adjustRightInd w:val="0"/>
              <w:snapToGrid w:val="0"/>
              <w:spacing w:before="0" w:after="0" w:line="500" w:lineRule="exact"/>
              <w:ind w:left="0" w:leftChars="0" w:right="0" w:firstLine="560" w:firstLineChars="200"/>
              <w:rPr>
                <w:rFonts w:hint="default"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pPr>
            <w:bookmarkStart w:id="153" w:name="_Toc11583"/>
            <w:bookmarkStart w:id="154" w:name="_Toc20191"/>
            <w:bookmarkStart w:id="155" w:name="_Toc16105"/>
            <w:bookmarkStart w:id="156" w:name="_Toc18559"/>
            <w:bookmarkStart w:id="157" w:name="_Toc13310"/>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1.推进镇村片区化组团建设。</w:t>
            </w:r>
            <w:r>
              <w:rPr>
                <w:rFonts w:hint="eastAsia" w:ascii="Times New Roman" w:hAnsi="Times New Roman" w:eastAsia="仿宋_GB2312" w:cstheme="minorBidi"/>
                <w:i w:val="0"/>
                <w:iCs w:val="0"/>
                <w:caps w:val="0"/>
                <w:spacing w:val="0"/>
                <w:kern w:val="2"/>
                <w:sz w:val="28"/>
                <w:szCs w:val="28"/>
                <w:highlight w:val="none"/>
                <w:u w:val="none"/>
                <w:shd w:val="clear"/>
                <w:vertAlign w:val="baseline"/>
                <w:lang w:val="en-US" w:eastAsia="zh-CN" w:bidi="ar-SA"/>
              </w:rPr>
              <w:t>推进典型镇村和镇村片区组团培育工作，累计培育119个以上典型村，打造4-5个省级镇村片区组团。</w:t>
            </w:r>
            <w:bookmarkEnd w:id="153"/>
            <w:bookmarkEnd w:id="154"/>
            <w:bookmarkEnd w:id="155"/>
            <w:bookmarkEnd w:id="156"/>
            <w:bookmarkEnd w:id="157"/>
          </w:p>
          <w:p w14:paraId="60603B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textAlignment w:val="auto"/>
              <w:rPr>
                <w:rFonts w:hint="default"/>
                <w:color w:val="auto"/>
                <w:sz w:val="28"/>
                <w:szCs w:val="28"/>
                <w:highlight w:val="none"/>
                <w:u w:val="none"/>
                <w:lang w:val="en-US"/>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2.完善农村基础设施建设和管理。推进</w:t>
            </w:r>
            <w:r>
              <w:rPr>
                <w:rFonts w:hint="eastAsia" w:ascii="仿宋_GB2312" w:hAnsi="仿宋_GB2312" w:cs="仿宋_GB2312"/>
                <w:i w:val="0"/>
                <w:iCs w:val="0"/>
                <w:caps w:val="0"/>
                <w:color w:val="auto"/>
                <w:spacing w:val="0"/>
                <w:sz w:val="28"/>
                <w:szCs w:val="28"/>
                <w:highlight w:val="none"/>
                <w:u w:val="none"/>
                <w:shd w:val="clear"/>
                <w:lang w:val="en-US" w:eastAsia="zh-CN"/>
              </w:rPr>
              <w:t>黄茅峡、石门台水库工程建设，开展小水电整改、老旧供水管网更新。</w:t>
            </w:r>
            <w:r>
              <w:rPr>
                <w:rFonts w:hint="eastAsia" w:ascii="仿宋_GB2312" w:hAnsi="仿宋_GB2312" w:eastAsia="仿宋_GB2312" w:cs="仿宋_GB2312"/>
                <w:i w:val="0"/>
                <w:iCs w:val="0"/>
                <w:caps w:val="0"/>
                <w:color w:val="auto"/>
                <w:spacing w:val="0"/>
                <w:sz w:val="28"/>
                <w:szCs w:val="28"/>
                <w:highlight w:val="none"/>
                <w:u w:val="none"/>
                <w:shd w:val="clear"/>
              </w:rPr>
              <w:t>推进</w:t>
            </w:r>
            <w:r>
              <w:rPr>
                <w:rFonts w:hint="eastAsia" w:ascii="仿宋_GB2312" w:hAnsi="仿宋_GB2312" w:cs="仿宋_GB2312"/>
                <w:i w:val="0"/>
                <w:iCs w:val="0"/>
                <w:caps w:val="0"/>
                <w:color w:val="auto"/>
                <w:spacing w:val="0"/>
                <w:sz w:val="28"/>
                <w:szCs w:val="28"/>
                <w:highlight w:val="none"/>
                <w:u w:val="none"/>
                <w:shd w:val="clear"/>
                <w:lang w:val="en-US" w:eastAsia="zh-CN"/>
              </w:rPr>
              <w:t>农村电网</w:t>
            </w:r>
            <w:r>
              <w:rPr>
                <w:rFonts w:hint="eastAsia" w:ascii="仿宋_GB2312" w:hAnsi="仿宋_GB2312" w:eastAsia="仿宋_GB2312" w:cs="仿宋_GB2312"/>
                <w:i w:val="0"/>
                <w:iCs w:val="0"/>
                <w:caps w:val="0"/>
                <w:color w:val="auto"/>
                <w:spacing w:val="0"/>
                <w:sz w:val="28"/>
                <w:szCs w:val="28"/>
                <w:highlight w:val="none"/>
                <w:u w:val="none"/>
                <w:shd w:val="clear"/>
              </w:rPr>
              <w:t>老旧设备更新，增加</w:t>
            </w:r>
            <w:r>
              <w:rPr>
                <w:rFonts w:hint="eastAsia" w:ascii="仿宋_GB2312" w:hAnsi="仿宋_GB2312" w:cs="仿宋_GB2312"/>
                <w:i w:val="0"/>
                <w:iCs w:val="0"/>
                <w:caps w:val="0"/>
                <w:color w:val="auto"/>
                <w:spacing w:val="0"/>
                <w:sz w:val="28"/>
                <w:szCs w:val="28"/>
                <w:highlight w:val="none"/>
                <w:u w:val="none"/>
                <w:shd w:val="clear"/>
                <w:lang w:val="en-US" w:eastAsia="zh-CN"/>
              </w:rPr>
              <w:t>农村</w:t>
            </w:r>
            <w:r>
              <w:rPr>
                <w:rFonts w:hint="eastAsia" w:ascii="仿宋_GB2312" w:hAnsi="仿宋_GB2312" w:eastAsia="仿宋_GB2312" w:cs="仿宋_GB2312"/>
                <w:i w:val="0"/>
                <w:iCs w:val="0"/>
                <w:caps w:val="0"/>
                <w:color w:val="auto"/>
                <w:spacing w:val="0"/>
                <w:sz w:val="28"/>
                <w:szCs w:val="28"/>
                <w:highlight w:val="none"/>
                <w:u w:val="none"/>
                <w:shd w:val="clear"/>
              </w:rPr>
              <w:t>变电站和配变台布点，</w:t>
            </w:r>
            <w:r>
              <w:rPr>
                <w:rFonts w:hint="eastAsia" w:ascii="仿宋_GB2312" w:hAnsi="仿宋_GB2312" w:cs="仿宋_GB2312"/>
                <w:i w:val="0"/>
                <w:iCs w:val="0"/>
                <w:caps w:val="0"/>
                <w:color w:val="auto"/>
                <w:spacing w:val="0"/>
                <w:sz w:val="28"/>
                <w:szCs w:val="28"/>
                <w:highlight w:val="none"/>
                <w:u w:val="none"/>
                <w:shd w:val="clear"/>
                <w:lang w:val="en-US" w:eastAsia="zh-CN"/>
              </w:rPr>
              <w:t>支持建设分布式光伏、充电桩等</w:t>
            </w:r>
            <w:r>
              <w:rPr>
                <w:rFonts w:hint="eastAsia" w:ascii="仿宋_GB2312" w:hAnsi="仿宋_GB2312" w:eastAsia="仿宋_GB2312" w:cs="仿宋_GB2312"/>
                <w:i w:val="0"/>
                <w:iCs w:val="0"/>
                <w:caps w:val="0"/>
                <w:color w:val="auto"/>
                <w:spacing w:val="0"/>
                <w:sz w:val="28"/>
                <w:szCs w:val="28"/>
                <w:highlight w:val="none"/>
                <w:u w:val="none"/>
                <w:shd w:val="clear"/>
              </w:rPr>
              <w:t>。</w:t>
            </w:r>
            <w:r>
              <w:rPr>
                <w:rFonts w:hint="eastAsia" w:ascii="仿宋_GB2312" w:hAnsi="仿宋_GB2312" w:eastAsia="仿宋_GB2312" w:cs="仿宋_GB2312"/>
                <w:sz w:val="28"/>
                <w:szCs w:val="28"/>
                <w:highlight w:val="none"/>
                <w:u w:val="none"/>
              </w:rPr>
              <w:t>实施县道低等级路段改造，</w:t>
            </w:r>
            <w:r>
              <w:rPr>
                <w:rFonts w:hint="eastAsia" w:ascii="仿宋_GB2312" w:hAnsi="仿宋_GB2312" w:eastAsia="仿宋_GB2312" w:cs="仿宋_GB2312"/>
                <w:spacing w:val="-6"/>
                <w:sz w:val="28"/>
                <w:szCs w:val="28"/>
                <w:highlight w:val="none"/>
                <w:u w:val="none"/>
              </w:rPr>
              <w:t>推动通行政村公路单改双</w:t>
            </w:r>
            <w:r>
              <w:rPr>
                <w:rFonts w:hint="eastAsia" w:ascii="仿宋_GB2312" w:hAnsi="仿宋_GB2312" w:cs="仿宋_GB2312"/>
                <w:spacing w:val="-6"/>
                <w:sz w:val="28"/>
                <w:szCs w:val="28"/>
                <w:highlight w:val="none"/>
                <w:u w:val="none"/>
                <w:lang w:val="en-US" w:eastAsia="zh-CN"/>
              </w:rPr>
              <w:t>工作</w:t>
            </w:r>
            <w:r>
              <w:rPr>
                <w:rFonts w:hint="eastAsia" w:ascii="仿宋_GB2312" w:hAnsi="仿宋_GB2312" w:cs="仿宋_GB2312"/>
                <w:sz w:val="28"/>
                <w:szCs w:val="28"/>
                <w:highlight w:val="none"/>
                <w:u w:val="none"/>
                <w:lang w:eastAsia="zh-CN"/>
              </w:rPr>
              <w:t>。</w:t>
            </w:r>
            <w:r>
              <w:rPr>
                <w:rFonts w:hint="eastAsia" w:ascii="仿宋_GB2312" w:hAnsi="仿宋_GB2312" w:eastAsia="仿宋_GB2312" w:cs="仿宋_GB2312"/>
                <w:sz w:val="28"/>
                <w:szCs w:val="28"/>
                <w:highlight w:val="none"/>
                <w:u w:val="none"/>
              </w:rPr>
              <w:t>加快推进20户以上农村人口聚居区宽带网络覆盖</w:t>
            </w:r>
            <w:r>
              <w:rPr>
                <w:rFonts w:hint="eastAsia" w:cs="Times New Roman"/>
                <w:i w:val="0"/>
                <w:iCs w:val="0"/>
                <w:caps w:val="0"/>
                <w:color w:val="auto"/>
                <w:spacing w:val="0"/>
                <w:sz w:val="28"/>
                <w:szCs w:val="28"/>
                <w:highlight w:val="none"/>
                <w:u w:val="none"/>
                <w:shd w:val="clear"/>
                <w:lang w:val="en-US" w:eastAsia="zh-CN"/>
              </w:rPr>
              <w:t>。</w:t>
            </w:r>
          </w:p>
          <w:p w14:paraId="4A47C4C2">
            <w:pPr>
              <w:keepNext w:val="0"/>
              <w:keepLines w:val="0"/>
              <w:widowControl w:val="0"/>
              <w:suppressLineNumbers w:val="0"/>
              <w:adjustRightInd w:val="0"/>
              <w:snapToGrid w:val="0"/>
              <w:spacing w:before="0" w:beforeAutospacing="0" w:after="0" w:afterAutospacing="0" w:line="500" w:lineRule="exact"/>
              <w:ind w:left="0" w:right="0"/>
              <w:jc w:val="left"/>
              <w:rPr>
                <w:rFonts w:hint="eastAsia" w:ascii="仿宋_GB2312" w:hAnsi="仿宋_GB2312" w:eastAsia="仿宋_GB2312" w:cs="仿宋_GB2312"/>
                <w:i w:val="0"/>
                <w:iCs w:val="0"/>
                <w:caps w:val="0"/>
                <w:color w:val="auto"/>
                <w:spacing w:val="0"/>
                <w:kern w:val="2"/>
                <w:sz w:val="28"/>
                <w:szCs w:val="28"/>
                <w:highlight w:val="none"/>
                <w:u w:val="none"/>
                <w:shd w:val="clear"/>
                <w:vertAlign w:val="baseline"/>
                <w:lang w:val="en-US" w:eastAsia="zh-CN" w:bidi="ar"/>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3.农村人居环境整治提升。</w:t>
            </w:r>
            <w:r>
              <w:rPr>
                <w:rFonts w:hint="eastAsia" w:ascii="仿宋_GB2312" w:hAnsi="仿宋_GB2312" w:eastAsia="仿宋_GB2312" w:cs="仿宋_GB2312"/>
                <w:color w:val="auto"/>
                <w:kern w:val="2"/>
                <w:sz w:val="28"/>
                <w:szCs w:val="28"/>
                <w:highlight w:val="none"/>
                <w:u w:val="none"/>
                <w:lang w:val="en-US" w:eastAsia="zh-CN" w:bidi="ar"/>
              </w:rPr>
              <w:t>改造提升不少于</w:t>
            </w:r>
            <w:r>
              <w:rPr>
                <w:rFonts w:hint="eastAsia" w:ascii="仿宋_GB2312" w:hAnsi="仿宋_GB2312" w:cs="仿宋_GB2312"/>
                <w:color w:val="auto"/>
                <w:kern w:val="2"/>
                <w:sz w:val="28"/>
                <w:szCs w:val="28"/>
                <w:highlight w:val="none"/>
                <w:u w:val="none"/>
                <w:lang w:val="en-US" w:eastAsia="zh-CN" w:bidi="ar"/>
              </w:rPr>
              <w:t>829</w:t>
            </w:r>
            <w:r>
              <w:rPr>
                <w:rFonts w:hint="eastAsia" w:ascii="仿宋_GB2312" w:hAnsi="仿宋_GB2312" w:eastAsia="仿宋_GB2312" w:cs="仿宋_GB2312"/>
                <w:color w:val="auto"/>
                <w:kern w:val="2"/>
                <w:sz w:val="28"/>
                <w:szCs w:val="28"/>
                <w:highlight w:val="none"/>
                <w:u w:val="none"/>
                <w:lang w:val="en-US" w:eastAsia="zh-CN" w:bidi="ar"/>
              </w:rPr>
              <w:t>个自然村生活污水治理设施</w:t>
            </w:r>
            <w:r>
              <w:rPr>
                <w:rFonts w:hint="eastAsia" w:ascii="仿宋_GB2312" w:hAnsi="仿宋_GB2312" w:cs="仿宋_GB2312"/>
                <w:color w:val="auto"/>
                <w:kern w:val="2"/>
                <w:sz w:val="28"/>
                <w:szCs w:val="28"/>
                <w:highlight w:val="none"/>
                <w:u w:val="none"/>
                <w:lang w:val="en-US" w:eastAsia="zh-CN" w:bidi="ar"/>
              </w:rPr>
              <w:t>。</w:t>
            </w:r>
            <w:r>
              <w:rPr>
                <w:rFonts w:hint="eastAsia" w:ascii="仿宋_GB2312" w:hAnsi="仿宋_GB2312" w:eastAsia="仿宋_GB2312" w:cs="仿宋_GB2312"/>
                <w:i w:val="0"/>
                <w:iCs w:val="0"/>
                <w:caps w:val="0"/>
                <w:color w:val="auto"/>
                <w:spacing w:val="0"/>
                <w:kern w:val="2"/>
                <w:sz w:val="28"/>
                <w:szCs w:val="28"/>
                <w:highlight w:val="none"/>
                <w:u w:val="none"/>
                <w:shd w:val="clear"/>
                <w:vertAlign w:val="baseline"/>
                <w:lang w:val="en-US" w:eastAsia="zh-CN" w:bidi="ar"/>
              </w:rPr>
              <w:t>推动全县所有村庄完成“三清理”“四整治”工作</w:t>
            </w:r>
            <w:r>
              <w:rPr>
                <w:rFonts w:hint="eastAsia" w:cs="Times New Roman"/>
                <w:b w:val="0"/>
                <w:bCs w:val="0"/>
                <w:color w:val="auto"/>
                <w:sz w:val="28"/>
                <w:szCs w:val="28"/>
                <w:highlight w:val="none"/>
                <w:u w:val="none"/>
                <w:vertAlign w:val="baseline"/>
                <w:lang w:val="en-US" w:eastAsia="zh-CN"/>
              </w:rPr>
              <w:t>。</w:t>
            </w:r>
          </w:p>
          <w:p w14:paraId="042246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00" w:lineRule="exact"/>
              <w:ind w:left="0" w:right="0" w:firstLine="560" w:firstLineChars="200"/>
              <w:jc w:val="left"/>
              <w:textAlignment w:val="auto"/>
              <w:rPr>
                <w:rFonts w:hint="eastAsia"/>
                <w:color w:val="auto"/>
                <w:sz w:val="28"/>
                <w:szCs w:val="28"/>
                <w:highlight w:val="none"/>
                <w:u w:val="none"/>
                <w:lang w:val="en-US" w:eastAsia="zh-CN"/>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4.提升农村基本公共服务。</w:t>
            </w:r>
            <w:r>
              <w:rPr>
                <w:rFonts w:hint="eastAsia" w:ascii="Times New Roman" w:hAnsi="Times New Roman" w:eastAsia="仿宋_GB2312" w:cs="Times New Roman"/>
                <w:i w:val="0"/>
                <w:iCs w:val="0"/>
                <w:caps w:val="0"/>
                <w:color w:val="auto"/>
                <w:spacing w:val="0"/>
                <w:kern w:val="2"/>
                <w:sz w:val="28"/>
                <w:szCs w:val="28"/>
                <w:highlight w:val="none"/>
                <w:u w:val="none"/>
                <w:shd w:val="clear"/>
                <w:vertAlign w:val="baseline"/>
                <w:lang w:val="en-US" w:eastAsia="zh-CN" w:bidi="ar"/>
              </w:rPr>
              <w:t>推动建设城乡学校共同体，</w:t>
            </w:r>
            <w:r>
              <w:rPr>
                <w:rFonts w:hint="eastAsia" w:cs="Times New Roman"/>
                <w:i w:val="0"/>
                <w:iCs w:val="0"/>
                <w:caps w:val="0"/>
                <w:color w:val="auto"/>
                <w:spacing w:val="0"/>
                <w:sz w:val="28"/>
                <w:szCs w:val="28"/>
                <w:highlight w:val="none"/>
                <w:u w:val="none"/>
                <w:shd w:val="clear"/>
                <w:lang w:val="en-US" w:eastAsia="zh-CN"/>
              </w:rPr>
              <w:t>实施县域普通高中振兴行动计划。</w:t>
            </w:r>
            <w:r>
              <w:rPr>
                <w:rFonts w:hint="eastAsia" w:ascii="Times New Roman" w:hAnsi="Times New Roman" w:eastAsia="仿宋_GB2312" w:cs="Times New Roman"/>
                <w:color w:val="auto"/>
                <w:kern w:val="2"/>
                <w:sz w:val="28"/>
                <w:szCs w:val="28"/>
                <w:highlight w:val="none"/>
                <w:u w:val="none"/>
                <w:lang w:val="en-US" w:eastAsia="zh-CN" w:bidi="ar"/>
              </w:rPr>
              <w:t>提升县域医疗卫生服务能力，</w:t>
            </w:r>
            <w:r>
              <w:rPr>
                <w:rFonts w:hint="eastAsia" w:cs="Times New Roman"/>
                <w:i w:val="0"/>
                <w:iCs w:val="0"/>
                <w:caps w:val="0"/>
                <w:color w:val="auto"/>
                <w:spacing w:val="0"/>
                <w:sz w:val="28"/>
                <w:szCs w:val="28"/>
                <w:highlight w:val="none"/>
                <w:u w:val="none"/>
                <w:shd w:val="clear"/>
                <w:lang w:val="en-US" w:eastAsia="zh-CN"/>
              </w:rPr>
              <w:t>推进县镇村三级养老服务网络建设，</w:t>
            </w:r>
            <w:r>
              <w:rPr>
                <w:rFonts w:hint="eastAsia" w:cs="Times New Roman"/>
                <w:color w:val="auto"/>
                <w:sz w:val="28"/>
                <w:szCs w:val="28"/>
                <w:highlight w:val="none"/>
                <w:u w:val="none"/>
                <w:lang w:val="en-US" w:eastAsia="zh-CN"/>
              </w:rPr>
              <w:t>力争</w:t>
            </w:r>
            <w:r>
              <w:rPr>
                <w:rFonts w:hint="default" w:ascii="Times New Roman" w:hAnsi="Times New Roman" w:eastAsia="仿宋_GB2312" w:cs="Times New Roman"/>
                <w:color w:val="auto"/>
                <w:sz w:val="28"/>
                <w:szCs w:val="28"/>
                <w:highlight w:val="none"/>
                <w:u w:val="none"/>
                <w:lang w:val="en-US" w:eastAsia="zh-CN"/>
              </w:rPr>
              <w:t>到2030年，</w:t>
            </w:r>
            <w:r>
              <w:rPr>
                <w:rFonts w:hint="default" w:ascii="Times New Roman" w:hAnsi="Times New Roman" w:eastAsia="仿宋_GB2312" w:cs="Times New Roman"/>
                <w:i w:val="0"/>
                <w:iCs w:val="0"/>
                <w:caps w:val="0"/>
                <w:color w:val="auto"/>
                <w:spacing w:val="0"/>
                <w:sz w:val="28"/>
                <w:szCs w:val="28"/>
                <w:highlight w:val="none"/>
                <w:u w:val="none"/>
                <w:shd w:val="clear"/>
                <w:lang w:val="en-US" w:eastAsia="zh-CN"/>
              </w:rPr>
              <w:t>乡镇卫生院、社区卫生服务中心达到服务能力标准的比例保持</w:t>
            </w:r>
            <w:r>
              <w:rPr>
                <w:rFonts w:hint="eastAsia" w:cs="Times New Roman"/>
                <w:i w:val="0"/>
                <w:iCs w:val="0"/>
                <w:caps w:val="0"/>
                <w:color w:val="auto"/>
                <w:spacing w:val="0"/>
                <w:sz w:val="28"/>
                <w:szCs w:val="28"/>
                <w:highlight w:val="none"/>
                <w:u w:val="none"/>
                <w:shd w:val="clear"/>
                <w:lang w:val="en-US" w:eastAsia="zh-CN"/>
              </w:rPr>
              <w:t>在100%</w:t>
            </w:r>
            <w:r>
              <w:rPr>
                <w:rFonts w:hint="eastAsia" w:ascii="Times New Roman" w:hAnsi="Times New Roman" w:cs="Times New Roman"/>
                <w:i w:val="0"/>
                <w:iCs w:val="0"/>
                <w:caps w:val="0"/>
                <w:color w:val="auto"/>
                <w:spacing w:val="0"/>
                <w:sz w:val="28"/>
                <w:szCs w:val="28"/>
                <w:highlight w:val="none"/>
                <w:u w:val="none"/>
                <w:shd w:val="clear"/>
                <w:lang w:val="en-US" w:eastAsia="zh-CN"/>
              </w:rPr>
              <w:t>，</w:t>
            </w:r>
            <w:r>
              <w:rPr>
                <w:rFonts w:hint="default"/>
                <w:color w:val="auto"/>
                <w:sz w:val="28"/>
                <w:szCs w:val="28"/>
                <w:highlight w:val="none"/>
                <w:u w:val="none"/>
                <w:lang w:val="en-US" w:eastAsia="zh-CN"/>
              </w:rPr>
              <w:t>镇（街）区域养老服务中心服务</w:t>
            </w:r>
            <w:r>
              <w:rPr>
                <w:rFonts w:hint="eastAsia"/>
                <w:color w:val="auto"/>
                <w:sz w:val="28"/>
                <w:szCs w:val="28"/>
                <w:highlight w:val="none"/>
                <w:u w:val="none"/>
                <w:lang w:val="en-US" w:eastAsia="zh-CN"/>
              </w:rPr>
              <w:t>、“长者饭堂”</w:t>
            </w:r>
            <w:r>
              <w:rPr>
                <w:rFonts w:hint="default"/>
                <w:color w:val="auto"/>
                <w:sz w:val="28"/>
                <w:szCs w:val="28"/>
                <w:highlight w:val="none"/>
                <w:u w:val="none"/>
                <w:lang w:val="en-US" w:eastAsia="zh-CN"/>
              </w:rPr>
              <w:t>覆盖率</w:t>
            </w:r>
            <w:r>
              <w:rPr>
                <w:rFonts w:hint="eastAsia"/>
                <w:color w:val="auto"/>
                <w:sz w:val="28"/>
                <w:szCs w:val="28"/>
                <w:highlight w:val="none"/>
                <w:u w:val="none"/>
                <w:lang w:val="en-US" w:eastAsia="zh-CN"/>
              </w:rPr>
              <w:t>达到100</w:t>
            </w:r>
            <w:r>
              <w:rPr>
                <w:rFonts w:hint="default"/>
                <w:color w:val="auto"/>
                <w:sz w:val="28"/>
                <w:szCs w:val="28"/>
                <w:highlight w:val="none"/>
                <w:u w:val="none"/>
                <w:lang w:val="en-US" w:eastAsia="zh-CN"/>
              </w:rPr>
              <w:t>%</w:t>
            </w:r>
            <w:r>
              <w:rPr>
                <w:rFonts w:hint="eastAsia"/>
                <w:color w:val="auto"/>
                <w:sz w:val="28"/>
                <w:szCs w:val="28"/>
                <w:highlight w:val="none"/>
                <w:u w:val="none"/>
                <w:lang w:val="en-US" w:eastAsia="zh-CN"/>
              </w:rPr>
              <w:t>。</w:t>
            </w:r>
          </w:p>
          <w:p w14:paraId="660E28CB">
            <w:pPr>
              <w:keepNext w:val="0"/>
              <w:keepLines w:val="0"/>
              <w:widowControl w:val="0"/>
              <w:suppressLineNumbers w:val="0"/>
              <w:adjustRightInd w:val="0"/>
              <w:snapToGrid w:val="0"/>
              <w:spacing w:before="0" w:beforeAutospacing="0" w:after="0" w:afterAutospacing="0" w:line="500" w:lineRule="exact"/>
              <w:ind w:left="0" w:right="0"/>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5.乡村数字治理提升。</w:t>
            </w:r>
            <w:r>
              <w:rPr>
                <w:rFonts w:hint="eastAsia" w:ascii="仿宋_GB2312" w:hAnsi="仿宋_GB2312" w:cs="仿宋_GB2312"/>
                <w:b w:val="0"/>
                <w:bCs w:val="0"/>
                <w:color w:val="auto"/>
                <w:sz w:val="28"/>
                <w:szCs w:val="28"/>
                <w:highlight w:val="none"/>
                <w:u w:val="none"/>
                <w:shd w:val="clear" w:color="auto" w:fill="FFFFFF"/>
                <w:lang w:eastAsia="zh-CN"/>
              </w:rPr>
              <w:t>扩大5G+智慧屏覆盖，</w:t>
            </w:r>
            <w:r>
              <w:rPr>
                <w:rFonts w:hint="eastAsia" w:ascii="仿宋_GB2312" w:hAnsi="仿宋_GB2312" w:eastAsia="仿宋_GB2312" w:cs="仿宋_GB2312"/>
                <w:i w:val="0"/>
                <w:iCs w:val="0"/>
                <w:caps w:val="0"/>
                <w:color w:val="auto"/>
                <w:spacing w:val="0"/>
                <w:kern w:val="2"/>
                <w:sz w:val="28"/>
                <w:szCs w:val="28"/>
                <w:highlight w:val="none"/>
                <w:u w:val="none"/>
                <w:shd w:val="clear" w:color="auto" w:fill="FFFFFF"/>
                <w:vertAlign w:val="baseline"/>
                <w:lang w:val="en-US" w:eastAsia="zh-CN" w:bidi="ar"/>
              </w:rPr>
              <w:t>推动“互联网+党建”发展和村务财务网上公开。</w:t>
            </w:r>
            <w:r>
              <w:rPr>
                <w:rFonts w:hint="eastAsia" w:ascii="仿宋_GB2312" w:hAnsi="仿宋_GB2312" w:eastAsia="仿宋_GB2312" w:cs="仿宋_GB2312"/>
                <w:color w:val="auto"/>
                <w:sz w:val="28"/>
                <w:szCs w:val="28"/>
                <w:highlight w:val="none"/>
                <w:u w:val="none"/>
                <w:shd w:val="clear" w:color="auto" w:fill="FFFFFF"/>
              </w:rPr>
              <w:t>农村公共出入口视频监控覆盖率、联网率均达到100%。</w:t>
            </w:r>
          </w:p>
          <w:p w14:paraId="4EB5669F">
            <w:pPr>
              <w:keepNext w:val="0"/>
              <w:keepLines w:val="0"/>
              <w:suppressLineNumbers w:val="0"/>
              <w:autoSpaceDE w:val="0"/>
              <w:adjustRightInd w:val="0"/>
              <w:snapToGrid w:val="0"/>
              <w:spacing w:before="0" w:beforeAutospacing="0" w:after="0" w:afterAutospacing="0" w:line="500" w:lineRule="exact"/>
              <w:ind w:left="0" w:right="0" w:firstLine="560" w:firstLineChars="200"/>
              <w:rPr>
                <w:rFonts w:hint="default"/>
                <w:sz w:val="28"/>
                <w:szCs w:val="28"/>
                <w:highlight w:val="none"/>
                <w:u w:val="none"/>
                <w:lang w:val="en-US" w:eastAsia="zh-CN"/>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6.文明乡风建设。</w:t>
            </w:r>
            <w:r>
              <w:rPr>
                <w:rFonts w:hint="default" w:ascii="Times New Roman" w:hAnsi="Times New Roman" w:eastAsia="仿宋_GB2312"/>
                <w:color w:val="auto"/>
                <w:sz w:val="28"/>
                <w:szCs w:val="28"/>
                <w:highlight w:val="none"/>
                <w:u w:val="none"/>
                <w:lang w:val="en-US" w:eastAsia="zh-CN"/>
              </w:rPr>
              <w:t>持续开展文明村镇、文明家庭等评选。加强农业文化遗产申报</w:t>
            </w:r>
            <w:r>
              <w:rPr>
                <w:rFonts w:hint="eastAsia" w:ascii="Times New Roman" w:hAnsi="Times New Roman" w:eastAsia="仿宋_GB2312"/>
                <w:color w:val="auto"/>
                <w:sz w:val="28"/>
                <w:szCs w:val="28"/>
                <w:highlight w:val="none"/>
                <w:u w:val="none"/>
                <w:lang w:val="en-US" w:eastAsia="zh-CN"/>
              </w:rPr>
              <w:t>，扶持英石盆景、过山瑶索袋编织等非遗技艺传承发展，培育一批技艺传承人，开发一批手信礼品、手工艺品。</w:t>
            </w:r>
          </w:p>
        </w:tc>
      </w:tr>
    </w:tbl>
    <w:p w14:paraId="590F9CBF">
      <w:pPr>
        <w:pStyle w:val="19"/>
        <w:keepNext/>
        <w:keepLines/>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0"/>
        <w:rPr>
          <w:rFonts w:hint="eastAsia" w:ascii="黑体" w:hAnsi="黑体" w:eastAsia="黑体" w:cs="黑体"/>
          <w:b/>
          <w:bCs/>
          <w:color w:val="0000FF"/>
          <w:sz w:val="28"/>
          <w:szCs w:val="28"/>
          <w:highlight w:val="none"/>
          <w:u w:val="none"/>
          <w:lang w:val="en-US" w:eastAsia="zh-CN"/>
        </w:rPr>
      </w:pPr>
      <w:bookmarkStart w:id="158" w:name="_Toc21894"/>
      <w:bookmarkStart w:id="159" w:name="_Toc14086"/>
      <w:bookmarkStart w:id="160" w:name="_Toc18253"/>
      <w:bookmarkStart w:id="161" w:name="_Toc25246"/>
      <w:bookmarkStart w:id="162" w:name="_Toc19164"/>
      <w:r>
        <w:rPr>
          <w:rFonts w:hint="eastAsia" w:ascii="黑体" w:hAnsi="黑体" w:eastAsia="黑体" w:cs="黑体"/>
          <w:sz w:val="28"/>
          <w:szCs w:val="28"/>
          <w:highlight w:val="none"/>
          <w:u w:val="none"/>
          <w:lang w:val="en-US" w:eastAsia="zh-CN"/>
        </w:rPr>
        <w:t>七、</w:t>
      </w:r>
      <w:bookmarkStart w:id="163" w:name="_Toc7853"/>
      <w:bookmarkStart w:id="164" w:name="_Toc26657"/>
      <w:bookmarkStart w:id="165" w:name="_Toc24540"/>
      <w:bookmarkStart w:id="166" w:name="_Toc18861"/>
      <w:bookmarkStart w:id="167" w:name="_Toc2005"/>
      <w:bookmarkStart w:id="168" w:name="_Toc16868"/>
      <w:bookmarkStart w:id="169" w:name="_Toc30320"/>
      <w:bookmarkStart w:id="170" w:name="_Toc3464"/>
      <w:bookmarkStart w:id="171" w:name="_Toc498"/>
      <w:bookmarkStart w:id="172" w:name="_Toc24233"/>
      <w:bookmarkStart w:id="173" w:name="_Toc13736"/>
      <w:bookmarkStart w:id="174" w:name="_Toc23865"/>
      <w:bookmarkStart w:id="175" w:name="_Toc23859"/>
      <w:bookmarkStart w:id="176" w:name="_Toc8261"/>
      <w:bookmarkStart w:id="177" w:name="_Toc18627"/>
      <w:bookmarkStart w:id="178" w:name="_Toc14773"/>
      <w:r>
        <w:rPr>
          <w:rFonts w:hint="eastAsia" w:ascii="黑体" w:hAnsi="黑体" w:eastAsia="黑体" w:cs="黑体"/>
          <w:sz w:val="28"/>
          <w:szCs w:val="28"/>
          <w:highlight w:val="none"/>
          <w:u w:val="none"/>
          <w:lang w:val="en-US" w:eastAsia="zh-CN"/>
        </w:rPr>
        <w:t>强化改革系统集成，提高强农惠农富农政策效</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Pr>
          <w:rFonts w:hint="eastAsia" w:ascii="黑体" w:hAnsi="黑体" w:eastAsia="黑体" w:cs="黑体"/>
          <w:sz w:val="28"/>
          <w:szCs w:val="28"/>
          <w:highlight w:val="none"/>
          <w:u w:val="none"/>
          <w:lang w:val="en-US" w:eastAsia="zh-CN"/>
        </w:rPr>
        <w:t>能</w:t>
      </w:r>
      <w:bookmarkEnd w:id="158"/>
      <w:bookmarkEnd w:id="159"/>
      <w:bookmarkEnd w:id="160"/>
      <w:bookmarkEnd w:id="161"/>
      <w:bookmarkEnd w:id="162"/>
    </w:p>
    <w:p w14:paraId="47BF3521">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default" w:ascii="方正楷体_GB2312" w:hAnsi="方正楷体_GB2312" w:eastAsia="方正楷体_GB2312" w:cs="方正楷体_GB2312"/>
          <w:b w:val="0"/>
          <w:bCs w:val="0"/>
          <w:color w:val="auto"/>
          <w:sz w:val="32"/>
          <w:szCs w:val="32"/>
          <w:highlight w:val="none"/>
          <w:u w:val="none"/>
          <w:lang w:val="en-US" w:eastAsia="zh-CN"/>
        </w:rPr>
      </w:pPr>
      <w:bookmarkStart w:id="179" w:name="_Toc29039"/>
      <w:bookmarkStart w:id="180" w:name="_Toc17261"/>
      <w:bookmarkStart w:id="181" w:name="_Toc17568"/>
      <w:bookmarkStart w:id="182" w:name="_Toc27849"/>
      <w:bookmarkStart w:id="183" w:name="_Toc10851"/>
      <w:r>
        <w:rPr>
          <w:rFonts w:hint="eastAsia" w:ascii="方正楷体_GB2312" w:hAnsi="方正楷体_GB2312" w:eastAsia="方正楷体_GB2312" w:cs="方正楷体_GB2312"/>
          <w:b w:val="0"/>
          <w:bCs w:val="0"/>
          <w:color w:val="auto"/>
          <w:sz w:val="32"/>
          <w:szCs w:val="32"/>
          <w:highlight w:val="none"/>
          <w:u w:val="none"/>
          <w:lang w:val="en-US" w:eastAsia="zh-CN"/>
        </w:rPr>
        <w:t>持续巩固拓展脱贫攻坚成果</w:t>
      </w:r>
      <w:bookmarkEnd w:id="179"/>
      <w:bookmarkEnd w:id="180"/>
      <w:bookmarkEnd w:id="181"/>
      <w:bookmarkEnd w:id="182"/>
      <w:bookmarkEnd w:id="183"/>
    </w:p>
    <w:p w14:paraId="5CBD49F0">
      <w:pPr>
        <w:keepNext w:val="0"/>
        <w:keepLines w:val="0"/>
        <w:bidi w:val="0"/>
        <w:spacing w:line="600" w:lineRule="exact"/>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守牢不发生规模性返贫致贫底线，建立健全常态化防止返贫致贫监测体系，分类落实精准帮扶措施，持续完善帮扶政策措施“工具箱”。强化开发式帮扶，依托</w:t>
      </w:r>
      <w:r>
        <w:rPr>
          <w:rFonts w:hint="eastAsia" w:ascii="仿宋_GB2312" w:hAnsi="仿宋_GB2312" w:cs="仿宋_GB2312"/>
          <w:sz w:val="32"/>
          <w:szCs w:val="32"/>
          <w:highlight w:val="none"/>
          <w:u w:val="none"/>
          <w:lang w:val="en-US" w:eastAsia="zh-CN"/>
        </w:rPr>
        <w:t>清远市千亿级现代农业产业集群</w:t>
      </w:r>
      <w:r>
        <w:rPr>
          <w:rFonts w:hint="eastAsia" w:ascii="仿宋_GB2312" w:hAnsi="仿宋_GB2312" w:eastAsia="仿宋_GB2312" w:cs="仿宋_GB2312"/>
          <w:sz w:val="32"/>
          <w:szCs w:val="32"/>
          <w:highlight w:val="none"/>
          <w:u w:val="none"/>
          <w:lang w:val="en-US" w:eastAsia="zh-CN"/>
        </w:rPr>
        <w:t>发展契机，推进帮扶产业高质量发展。发挥驻镇帮镇扶村作用，优化组团帮扶机制，健全帮扶队伍选拔工作机制，用好帮扶单位资源，深化产业帮扶、消费帮扶、就业帮扶。健全帮扶资产长效管理机制，加强帮扶项目资产统计监测和指导检查，强化道路交通、农田水利、供水饮水、电力等公益性资产后续管护，健全完善经营性资产收益分配机制。深入实施“千企帮千镇、万企兴万村”行动和社会组织助力乡村振兴行动。</w:t>
      </w:r>
    </w:p>
    <w:p w14:paraId="718C9062">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184" w:name="_Toc20691"/>
      <w:bookmarkStart w:id="185" w:name="_Toc29544"/>
      <w:bookmarkStart w:id="186" w:name="_Toc24410"/>
      <w:bookmarkStart w:id="187" w:name="_Toc26795"/>
      <w:bookmarkStart w:id="188" w:name="_Toc24218"/>
      <w:r>
        <w:rPr>
          <w:rFonts w:hint="eastAsia" w:ascii="方正楷体_GB2312" w:hAnsi="方正楷体_GB2312" w:eastAsia="方正楷体_GB2312" w:cs="方正楷体_GB2312"/>
          <w:b w:val="0"/>
          <w:bCs w:val="0"/>
          <w:color w:val="auto"/>
          <w:sz w:val="32"/>
          <w:szCs w:val="32"/>
          <w:highlight w:val="none"/>
          <w:u w:val="none"/>
          <w:lang w:val="en-US" w:eastAsia="zh-CN"/>
        </w:rPr>
        <w:t>着力构建“多元化”投入格局</w:t>
      </w:r>
      <w:bookmarkEnd w:id="184"/>
      <w:bookmarkEnd w:id="185"/>
      <w:bookmarkEnd w:id="186"/>
      <w:bookmarkEnd w:id="187"/>
      <w:bookmarkEnd w:id="188"/>
    </w:p>
    <w:p w14:paraId="4DC151F5">
      <w:pPr>
        <w:keepNext w:val="0"/>
        <w:keepLines w:val="0"/>
        <w:pageBreakBefore w:val="0"/>
        <w:widowControl w:val="0"/>
        <w:kinsoku w:val="0"/>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kern w:val="2"/>
          <w:sz w:val="32"/>
          <w:szCs w:val="32"/>
          <w:highlight w:val="none"/>
          <w:u w:val="none"/>
          <w:lang w:val="en-US" w:eastAsia="zh-CN" w:bidi="ar-SA"/>
        </w:rPr>
        <w:t>将农业农村作为一般公共预算优先保障领域，坚持把农业农村作为财政优先保障领域和金融优先服务领域。健全农村金融服务体系，鼓励金融机构面向新型农业经营主体创新农村金融产品和服务，推动抵押融资覆盖面扩大到农业设施、畜禽活体、农业保险保单、商标等领域。健全多层次农业保险体系，深化农业保险精准投保理赔示范市建设，发展茶叶品质气象指数保险”“麻竹笋价格保险”等地方特色农产品保险产品，推动农业保险扩面、增品、提标。</w:t>
      </w:r>
    </w:p>
    <w:p w14:paraId="5B5D7925">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189" w:name="_Toc17918"/>
      <w:bookmarkStart w:id="190" w:name="_Toc5910"/>
      <w:bookmarkStart w:id="191" w:name="_Toc31223"/>
      <w:bookmarkStart w:id="192" w:name="_Toc29722"/>
      <w:bookmarkStart w:id="193" w:name="_Toc19779"/>
      <w:r>
        <w:rPr>
          <w:rFonts w:hint="eastAsia" w:ascii="方正楷体_GB2312" w:hAnsi="方正楷体_GB2312" w:eastAsia="方正楷体_GB2312" w:cs="方正楷体_GB2312"/>
          <w:b w:val="0"/>
          <w:bCs w:val="0"/>
          <w:color w:val="auto"/>
          <w:sz w:val="32"/>
          <w:szCs w:val="32"/>
          <w:highlight w:val="none"/>
          <w:u w:val="none"/>
          <w:lang w:val="en-US" w:eastAsia="zh-CN"/>
        </w:rPr>
        <w:t>深化农村土地制度改革</w:t>
      </w:r>
      <w:bookmarkEnd w:id="189"/>
      <w:bookmarkEnd w:id="190"/>
      <w:bookmarkEnd w:id="191"/>
      <w:bookmarkEnd w:id="192"/>
      <w:bookmarkEnd w:id="193"/>
    </w:p>
    <w:p w14:paraId="675BA215">
      <w:pPr>
        <w:spacing w:line="600" w:lineRule="exact"/>
        <w:outlineLvl w:val="9"/>
        <w:rPr>
          <w:rFonts w:hint="eastAsia" w:ascii="仿宋_GB2312" w:hAnsi="仿宋_GB2312" w:eastAsia="仿宋_GB2312" w:cs="仿宋_GB2312"/>
          <w:kern w:val="2"/>
          <w:sz w:val="32"/>
          <w:szCs w:val="32"/>
          <w:highlight w:val="none"/>
          <w:u w:val="none"/>
          <w:lang w:val="en-US" w:eastAsia="zh-CN" w:bidi="ar-SA"/>
        </w:rPr>
      </w:pPr>
      <w:r>
        <w:rPr>
          <w:rFonts w:hint="eastAsia" w:ascii="仿宋_GB2312" w:hAnsi="仿宋_GB2312" w:eastAsia="仿宋_GB2312" w:cs="仿宋_GB2312"/>
          <w:kern w:val="2"/>
          <w:sz w:val="32"/>
          <w:szCs w:val="32"/>
          <w:highlight w:val="none"/>
          <w:u w:val="none"/>
          <w:lang w:val="en-US" w:eastAsia="zh-CN" w:bidi="ar-SA"/>
        </w:rPr>
        <w:t>稳定农村土地承包关系，稳步推进第二轮土地承包到期后再延长三十年试点。摸清全市农村集体经营性建设用地入市需求，节约集约利用农村集体经营性建设用地，有序推进入市改革。依法盘活闲置土地和房屋，加快“房地一体”农村宅基地确权登记颁证，探索农户合法拥有的住房以出租、入股、合作等方式盘活利用的有效实现形式。推动全域土地综合整治，集中连片整治农用地，整理盘活农村零散、闲置、低效建设用地，推动恢复乡村生态涵养功能。深化集体林权制度改革和供销合作社综合改革。</w:t>
      </w:r>
    </w:p>
    <w:p w14:paraId="33C71DE3">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194" w:name="_Toc26769"/>
      <w:bookmarkStart w:id="195" w:name="_Toc6506"/>
      <w:bookmarkStart w:id="196" w:name="_Toc10598"/>
      <w:bookmarkStart w:id="197" w:name="_Toc3131"/>
      <w:bookmarkStart w:id="198" w:name="_Toc26010"/>
      <w:r>
        <w:rPr>
          <w:rFonts w:hint="eastAsia" w:ascii="方正楷体_GB2312" w:hAnsi="方正楷体_GB2312" w:eastAsia="方正楷体_GB2312" w:cs="方正楷体_GB2312"/>
          <w:b w:val="0"/>
          <w:bCs w:val="0"/>
          <w:color w:val="auto"/>
          <w:sz w:val="32"/>
          <w:szCs w:val="32"/>
          <w:highlight w:val="none"/>
          <w:u w:val="none"/>
          <w:lang w:val="en-US" w:eastAsia="zh-CN"/>
        </w:rPr>
        <w:t>积极发展新型农村集体经济</w:t>
      </w:r>
      <w:bookmarkEnd w:id="194"/>
      <w:bookmarkEnd w:id="195"/>
      <w:bookmarkEnd w:id="196"/>
      <w:bookmarkEnd w:id="197"/>
      <w:bookmarkEnd w:id="198"/>
    </w:p>
    <w:p w14:paraId="18383FC2">
      <w:pPr>
        <w:keepNext w:val="0"/>
        <w:keepLines w:val="0"/>
        <w:pageBreakBefore w:val="0"/>
        <w:widowControl w:val="0"/>
        <w:kinsoku w:val="0"/>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深化农村集体产权制度改革，加强农村集体资产监督管理，防控农村集体债务风险。优化农村“三资”管理，推动农村集体资产上图进行动态管理，推广应用广东省农村产权流转交易管理服务平台（“粤农交”）挂牌各类资产资源交易，聚焦农村财务管理、经济合同管理、村级债务、工程项目管理和违规出借资金等重点领域，推进农村集体“三资”监管突出问题集中专项整治。创新新型农村集体经济发展机制，鼓励农村集体</w:t>
      </w:r>
      <w:r>
        <w:rPr>
          <w:rFonts w:hint="eastAsia" w:ascii="仿宋_GB2312" w:hAnsi="仿宋_GB2312" w:cs="仿宋_GB2312"/>
          <w:color w:val="auto"/>
          <w:kern w:val="2"/>
          <w:sz w:val="32"/>
          <w:szCs w:val="32"/>
          <w:highlight w:val="none"/>
          <w:u w:val="none"/>
          <w:lang w:val="en-US" w:eastAsia="zh-CN" w:bidi="ar-SA"/>
        </w:rPr>
        <w:t>探索</w:t>
      </w:r>
      <w:r>
        <w:rPr>
          <w:rFonts w:hint="eastAsia" w:ascii="仿宋_GB2312" w:hAnsi="仿宋_GB2312" w:eastAsia="仿宋_GB2312" w:cs="仿宋_GB2312"/>
          <w:color w:val="auto"/>
          <w:kern w:val="2"/>
          <w:sz w:val="32"/>
          <w:szCs w:val="32"/>
          <w:highlight w:val="none"/>
          <w:u w:val="none"/>
          <w:lang w:val="en-US" w:eastAsia="zh-CN" w:bidi="ar-SA"/>
        </w:rPr>
        <w:t>资源发包、物业出租、居间服务、经营性财产参股以及“飞地经济”等多元发展路径</w:t>
      </w:r>
      <w:r>
        <w:rPr>
          <w:rFonts w:hint="eastAsia" w:ascii="仿宋_GB2312" w:hAnsi="仿宋_GB2312" w:cs="仿宋_GB2312"/>
          <w:color w:val="auto"/>
          <w:kern w:val="2"/>
          <w:sz w:val="32"/>
          <w:szCs w:val="32"/>
          <w:highlight w:val="none"/>
          <w:u w:val="none"/>
          <w:lang w:val="en-US" w:eastAsia="zh-CN" w:bidi="ar-SA"/>
        </w:rPr>
        <w:t>和新业态</w:t>
      </w:r>
      <w:r>
        <w:rPr>
          <w:rFonts w:hint="eastAsia" w:ascii="仿宋_GB2312" w:hAnsi="仿宋_GB2312" w:eastAsia="仿宋_GB2312" w:cs="仿宋_GB2312"/>
          <w:color w:val="auto"/>
          <w:kern w:val="2"/>
          <w:sz w:val="32"/>
          <w:szCs w:val="32"/>
          <w:highlight w:val="none"/>
          <w:u w:val="none"/>
          <w:lang w:val="en-US" w:eastAsia="zh-CN" w:bidi="ar-SA"/>
        </w:rPr>
        <w:t>，探索发展农产品产地初加工、直销配送、乡村农文旅体康等新产业新业态。</w:t>
      </w:r>
    </w:p>
    <w:p w14:paraId="13B5A4DA">
      <w:pPr>
        <w:keepNext/>
        <w:keepLines/>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sz w:val="32"/>
          <w:szCs w:val="32"/>
          <w:highlight w:val="none"/>
          <w:u w:val="none"/>
          <w:lang w:val="en-US" w:eastAsia="zh-CN"/>
        </w:rPr>
      </w:pPr>
      <w:bookmarkStart w:id="199" w:name="_Toc3701"/>
      <w:bookmarkStart w:id="200" w:name="_Toc3052"/>
      <w:bookmarkStart w:id="201" w:name="_Toc355"/>
      <w:bookmarkStart w:id="202" w:name="_Toc27222"/>
      <w:bookmarkStart w:id="203" w:name="_Toc23163"/>
      <w:r>
        <w:rPr>
          <w:rFonts w:hint="eastAsia" w:ascii="方正楷体_GB2312" w:hAnsi="方正楷体_GB2312" w:eastAsia="方正楷体_GB2312" w:cs="方正楷体_GB2312"/>
          <w:b w:val="0"/>
          <w:bCs w:val="0"/>
          <w:color w:val="auto"/>
          <w:sz w:val="32"/>
          <w:szCs w:val="32"/>
          <w:highlight w:val="none"/>
          <w:u w:val="none"/>
          <w:lang w:val="en-US" w:eastAsia="zh-CN"/>
        </w:rPr>
        <w:t>拓展农民增收致富渠道</w:t>
      </w:r>
      <w:bookmarkEnd w:id="199"/>
      <w:bookmarkEnd w:id="200"/>
      <w:bookmarkEnd w:id="201"/>
      <w:bookmarkEnd w:id="202"/>
      <w:bookmarkEnd w:id="203"/>
    </w:p>
    <w:p w14:paraId="01167290">
      <w:pPr>
        <w:keepNext w:val="0"/>
        <w:keepLines w:val="0"/>
        <w:numPr>
          <w:ilvl w:val="-1"/>
          <w:numId w:val="0"/>
        </w:numPr>
        <w:kinsoku w:val="0"/>
        <w:spacing w:line="600" w:lineRule="exact"/>
        <w:ind w:left="0" w:firstLine="640" w:firstLineChars="200"/>
        <w:outlineLvl w:val="9"/>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提高农民工资性收入，完善就业公共服务体系，加快构建“十五分钟就业服务圈”，合理布局各类产业帮扶车间，持续开发乡村公益性岗位。提升农民经营性收入，引导农民发展研学经济、庭院经济和民宿经济等家庭经营产业项目，鼓励各类新型农业经营主体通过订单农业、收益分红等方式与小农户建立稳定的利益联结关系。拓展农民财产性收入，鼓励农民以委托、出租、合作等方式盘活利用合法拥有的闲置宅基地、房屋，健全农村集体经济组织收益分配制度。</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C06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tcPr>
          <w:p w14:paraId="160D063C">
            <w:pPr>
              <w:numPr>
                <w:ilvl w:val="-1"/>
                <w:numId w:val="0"/>
              </w:numPr>
              <w:suppressLineNumbers w:val="0"/>
              <w:snapToGrid w:val="0"/>
              <w:spacing w:before="0" w:beforeAutospacing="0" w:after="0" w:afterAutospacing="0" w:line="240" w:lineRule="auto"/>
              <w:ind w:left="0" w:leftChars="0" w:right="0"/>
              <w:jc w:val="center"/>
              <w:rPr>
                <w:rFonts w:hint="default"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lang w:val="en-US" w:eastAsia="zh-CN" w:bidi="ar"/>
              </w:rPr>
              <w:t>专栏7 保障农民收入</w:t>
            </w:r>
          </w:p>
        </w:tc>
      </w:tr>
      <w:tr w14:paraId="6F73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22" w:type="dxa"/>
          </w:tcPr>
          <w:p w14:paraId="1A9866FB">
            <w:pPr>
              <w:keepNext w:val="0"/>
              <w:suppressLineNumbers w:val="0"/>
              <w:snapToGrid w:val="0"/>
              <w:spacing w:before="0" w:beforeAutospacing="0" w:after="0" w:afterAutospacing="0" w:line="500" w:lineRule="exact"/>
              <w:ind w:left="0" w:right="0" w:firstLine="560" w:firstLineChars="200"/>
              <w:outlineLvl w:val="9"/>
              <w:rPr>
                <w:rFonts w:hint="eastAsia" w:ascii="仿宋_GB2312" w:hAnsi="仿宋_GB2312" w:eastAsia="仿宋_GB2312" w:cs="仿宋_GB2312"/>
                <w:i w:val="0"/>
                <w:iCs w:val="0"/>
                <w:caps w:val="0"/>
                <w:color w:val="auto"/>
                <w:spacing w:val="0"/>
                <w:kern w:val="2"/>
                <w:sz w:val="28"/>
                <w:szCs w:val="28"/>
                <w:highlight w:val="none"/>
                <w:u w:val="none"/>
                <w:shd w:val="clear"/>
                <w:vertAlign w:val="baseline"/>
                <w:lang w:val="en-US" w:eastAsia="zh-CN" w:bidi="ar"/>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1.常态化精准扶贫。</w:t>
            </w:r>
            <w:r>
              <w:rPr>
                <w:rFonts w:hint="eastAsia" w:ascii="仿宋_GB2312" w:hAnsi="仿宋_GB2312" w:eastAsia="仿宋_GB2312" w:cs="仿宋_GB2312"/>
                <w:i w:val="0"/>
                <w:iCs w:val="0"/>
                <w:caps w:val="0"/>
                <w:color w:val="auto"/>
                <w:spacing w:val="0"/>
                <w:kern w:val="2"/>
                <w:sz w:val="28"/>
                <w:szCs w:val="28"/>
                <w:highlight w:val="none"/>
                <w:u w:val="none"/>
                <w:shd w:val="clear"/>
                <w:vertAlign w:val="baseline"/>
                <w:lang w:val="en-US" w:eastAsia="zh-CN" w:bidi="ar"/>
              </w:rPr>
              <w:t>健全完善农户主动申请、部门筛查预警、基层干部定期跟踪回访相结合的易返贫致贫人口监测识别机制。持续激发现有24个镇街驻镇帮镇扶村工作队能量，做好第三轮新旧驻镇驻村帮扶工作队轮换交接组织工作，培育一批具备规划建设、企业经营和招商引资等能力的帮扶队伍，稳步提高帮镇扶村资金用于产业项目的比重，推动帮扶工作队全面参与乡村运营各环节工作。</w:t>
            </w:r>
          </w:p>
          <w:p w14:paraId="002F0640">
            <w:pPr>
              <w:keepNext/>
              <w:keepLines/>
              <w:pageBreakBefore w:val="0"/>
              <w:widowControl w:val="0"/>
              <w:suppressLineNumbers w:val="0"/>
              <w:kinsoku/>
              <w:wordWrap/>
              <w:overflowPunct/>
              <w:topLinePunct w:val="0"/>
              <w:autoSpaceDE/>
              <w:autoSpaceDN/>
              <w:bidi w:val="0"/>
              <w:adjustRightInd/>
              <w:snapToGrid w:val="0"/>
              <w:spacing w:before="0" w:beforeAutospacing="0" w:after="0" w:afterAutospacing="0" w:line="500" w:lineRule="exact"/>
              <w:ind w:left="0" w:right="0" w:firstLine="560" w:firstLineChars="200"/>
              <w:textAlignment w:val="auto"/>
              <w:rPr>
                <w:rFonts w:hint="eastAsia" w:ascii="仿宋_GB2312" w:hAnsi="仿宋_GB2312" w:eastAsia="仿宋_GB2312" w:cs="仿宋_GB2312"/>
                <w:i w:val="0"/>
                <w:iCs w:val="0"/>
                <w:caps w:val="0"/>
                <w:color w:val="auto"/>
                <w:spacing w:val="0"/>
                <w:kern w:val="2"/>
                <w:sz w:val="28"/>
                <w:szCs w:val="28"/>
                <w:highlight w:val="none"/>
                <w:u w:val="none"/>
                <w:shd w:val="clear"/>
                <w:vertAlign w:val="baseline"/>
                <w:lang w:val="en-US" w:eastAsia="zh-CN" w:bidi="ar"/>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2.发展新型农村集体经济。</w:t>
            </w:r>
            <w:r>
              <w:rPr>
                <w:rFonts w:hint="eastAsia" w:ascii="仿宋_GB2312" w:hAnsi="仿宋_GB2312" w:eastAsia="仿宋_GB2312" w:cs="仿宋_GB2312"/>
                <w:i w:val="0"/>
                <w:iCs w:val="0"/>
                <w:caps w:val="0"/>
                <w:color w:val="auto"/>
                <w:spacing w:val="0"/>
                <w:kern w:val="2"/>
                <w:sz w:val="28"/>
                <w:szCs w:val="28"/>
                <w:highlight w:val="none"/>
                <w:u w:val="none"/>
                <w:shd w:val="clear"/>
                <w:vertAlign w:val="baseline"/>
                <w:lang w:val="en-US" w:eastAsia="zh-CN" w:bidi="ar"/>
              </w:rPr>
              <w:t>扎实做好扶持壮大村级集体经济试点项目，深入实施全市发展新型农村集体经济项目，探索建立农村集体经济收入增长与经营管理人员报酬挂钩等激励机制，完善确权到农村集体的扶贫资产管护机制。</w:t>
            </w:r>
          </w:p>
          <w:p w14:paraId="06A066BE">
            <w:pPr>
              <w:suppressLineNumbers w:val="0"/>
              <w:snapToGrid w:val="0"/>
              <w:spacing w:before="0" w:beforeAutospacing="0" w:after="0" w:afterAutospacing="0" w:line="500" w:lineRule="exact"/>
              <w:ind w:left="0" w:right="0" w:firstLine="640"/>
              <w:rPr>
                <w:rFonts w:hint="default"/>
                <w:sz w:val="28"/>
                <w:szCs w:val="28"/>
                <w:highlight w:val="none"/>
                <w:u w:val="none"/>
                <w:lang w:val="en-US" w:eastAsia="zh-CN"/>
              </w:rPr>
            </w:pPr>
            <w:r>
              <w:rPr>
                <w:rFonts w:hint="eastAsia" w:ascii="方正楷体_GB2312" w:hAnsi="方正楷体_GB2312" w:eastAsia="方正楷体_GB2312" w:cs="方正楷体_GB2312"/>
                <w:i w:val="0"/>
                <w:iCs w:val="0"/>
                <w:caps w:val="0"/>
                <w:color w:val="auto"/>
                <w:spacing w:val="0"/>
                <w:kern w:val="2"/>
                <w:sz w:val="28"/>
                <w:szCs w:val="28"/>
                <w:highlight w:val="none"/>
                <w:u w:val="none"/>
                <w:shd w:val="clear" w:fill="auto"/>
                <w:vertAlign w:val="baseline"/>
                <w:lang w:val="en-US" w:eastAsia="zh-CN" w:bidi="ar"/>
              </w:rPr>
              <w:t>3.农民稳定增收致富。</w:t>
            </w:r>
            <w:r>
              <w:rPr>
                <w:rFonts w:hint="eastAsia" w:ascii="仿宋_GB2312" w:hAnsi="仿宋_GB2312" w:eastAsia="仿宋_GB2312" w:cs="仿宋_GB2312"/>
                <w:i w:val="0"/>
                <w:iCs w:val="0"/>
                <w:caps w:val="0"/>
                <w:color w:val="auto"/>
                <w:spacing w:val="0"/>
                <w:kern w:val="2"/>
                <w:sz w:val="28"/>
                <w:szCs w:val="28"/>
                <w:highlight w:val="none"/>
                <w:u w:val="none"/>
                <w:shd w:val="clear"/>
                <w:vertAlign w:val="baseline"/>
                <w:lang w:val="en-US" w:eastAsia="zh-CN" w:bidi="ar"/>
              </w:rPr>
              <w:t>建设完善零工市场、就业驿站、“南粤家政”基层服务站、“好德妈妈”培育服务站和人才驿站等就业服务平台。引导农民在红旗茶厂、研山研学基地、广九豆工坊等农业资源丰富的旅游景区发展产业项目。支持农民围绕英德红茶制作技艺、西牛麻竹笋制作技艺、过山瑶索袋制作技艺等发展加工、直播销售、产品定制等服务，不断提高农民生产经营和自我发展能力。</w:t>
            </w:r>
          </w:p>
        </w:tc>
      </w:tr>
    </w:tbl>
    <w:p w14:paraId="348BEC0C">
      <w:pPr>
        <w:pStyle w:val="19"/>
        <w:keepNext/>
        <w:keepLines/>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0"/>
        <w:rPr>
          <w:rFonts w:hint="default" w:ascii="黑体" w:hAnsi="黑体" w:eastAsia="黑体" w:cs="黑体"/>
          <w:highlight w:val="none"/>
          <w:u w:val="none"/>
          <w:lang w:val="en-US" w:eastAsia="zh-CN"/>
        </w:rPr>
      </w:pPr>
      <w:bookmarkStart w:id="204" w:name="_Toc11451"/>
      <w:bookmarkStart w:id="205" w:name="_Toc18133"/>
      <w:bookmarkStart w:id="206" w:name="_Toc23106"/>
      <w:bookmarkStart w:id="207" w:name="_Toc7712"/>
      <w:bookmarkStart w:id="208" w:name="_Toc19144"/>
      <w:bookmarkStart w:id="209" w:name="_Toc16407"/>
      <w:bookmarkStart w:id="210" w:name="_Toc12106"/>
      <w:bookmarkStart w:id="211" w:name="_Toc22075"/>
      <w:bookmarkStart w:id="212" w:name="_Toc17435"/>
      <w:bookmarkStart w:id="213" w:name="_Toc25730"/>
      <w:bookmarkStart w:id="214" w:name="_Toc18116"/>
      <w:bookmarkStart w:id="215" w:name="_Toc31650"/>
      <w:bookmarkStart w:id="216" w:name="_Toc17085"/>
      <w:bookmarkStart w:id="217" w:name="_Toc11369"/>
      <w:bookmarkStart w:id="218" w:name="_Toc10937"/>
      <w:bookmarkStart w:id="219" w:name="_Toc14833"/>
      <w:bookmarkStart w:id="220" w:name="_Toc4794"/>
      <w:bookmarkStart w:id="221" w:name="_Toc2750"/>
      <w:bookmarkStart w:id="222" w:name="_Toc23028"/>
      <w:bookmarkStart w:id="223" w:name="_Toc25966"/>
      <w:bookmarkStart w:id="224" w:name="_Toc640"/>
      <w:r>
        <w:rPr>
          <w:rFonts w:hint="eastAsia" w:ascii="黑体" w:hAnsi="黑体" w:eastAsia="黑体" w:cs="黑体"/>
          <w:highlight w:val="none"/>
          <w:u w:val="none"/>
          <w:lang w:val="en-US" w:eastAsia="zh-CN"/>
        </w:rPr>
        <w:t>八、</w:t>
      </w:r>
      <w:r>
        <w:rPr>
          <w:rFonts w:hint="default" w:ascii="黑体" w:hAnsi="黑体" w:eastAsia="黑体" w:cs="黑体"/>
          <w:highlight w:val="none"/>
          <w:u w:val="none"/>
          <w:lang w:val="en-US" w:eastAsia="zh-CN"/>
        </w:rPr>
        <w:t>规划保障</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30B318FF">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highlight w:val="none"/>
          <w:u w:val="none"/>
          <w:lang w:val="en-US" w:eastAsia="zh-CN"/>
        </w:rPr>
      </w:pPr>
      <w:bookmarkStart w:id="225" w:name="_Toc14730"/>
      <w:bookmarkStart w:id="226" w:name="_Toc2448"/>
      <w:bookmarkStart w:id="227" w:name="_Toc23182"/>
      <w:bookmarkStart w:id="228" w:name="_Toc14032"/>
      <w:bookmarkStart w:id="229" w:name="_Toc8038"/>
      <w:r>
        <w:rPr>
          <w:rFonts w:hint="eastAsia" w:ascii="方正楷体_GB2312" w:hAnsi="方正楷体_GB2312" w:eastAsia="方正楷体_GB2312" w:cs="方正楷体_GB2312"/>
          <w:b w:val="0"/>
          <w:bCs w:val="0"/>
          <w:color w:val="auto"/>
          <w:highlight w:val="none"/>
          <w:u w:val="none"/>
          <w:lang w:val="en-US" w:eastAsia="zh-CN"/>
        </w:rPr>
        <w:t>加强组织领导</w:t>
      </w:r>
      <w:bookmarkEnd w:id="225"/>
      <w:bookmarkEnd w:id="226"/>
      <w:bookmarkEnd w:id="227"/>
      <w:bookmarkEnd w:id="228"/>
      <w:bookmarkEnd w:id="229"/>
    </w:p>
    <w:p w14:paraId="6B1B6CD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color w:val="auto"/>
          <w:highlight w:val="none"/>
          <w:u w:val="none"/>
          <w:lang w:val="en-US" w:eastAsia="zh-CN"/>
        </w:rPr>
      </w:pPr>
      <w:r>
        <w:rPr>
          <w:rFonts w:hint="default"/>
          <w:color w:val="auto"/>
          <w:highlight w:val="none"/>
          <w:u w:val="none"/>
          <w:lang w:val="en-US" w:eastAsia="zh-CN"/>
        </w:rPr>
        <w:t>坚持党对</w:t>
      </w:r>
      <w:r>
        <w:rPr>
          <w:rFonts w:hint="eastAsia"/>
          <w:color w:val="auto"/>
          <w:highlight w:val="none"/>
          <w:u w:val="none"/>
          <w:lang w:val="en-US" w:eastAsia="zh-CN"/>
        </w:rPr>
        <w:t>“</w:t>
      </w:r>
      <w:r>
        <w:rPr>
          <w:rFonts w:hint="default"/>
          <w:color w:val="auto"/>
          <w:highlight w:val="none"/>
          <w:u w:val="none"/>
          <w:lang w:val="en-US" w:eastAsia="zh-CN"/>
        </w:rPr>
        <w:t>三农</w:t>
      </w:r>
      <w:r>
        <w:rPr>
          <w:rFonts w:hint="eastAsia"/>
          <w:color w:val="auto"/>
          <w:highlight w:val="none"/>
          <w:u w:val="none"/>
          <w:lang w:val="en-US" w:eastAsia="zh-CN"/>
        </w:rPr>
        <w:t>”</w:t>
      </w:r>
      <w:r>
        <w:rPr>
          <w:rFonts w:hint="default"/>
          <w:color w:val="auto"/>
          <w:highlight w:val="none"/>
          <w:u w:val="none"/>
          <w:lang w:val="en-US" w:eastAsia="zh-CN"/>
        </w:rPr>
        <w:t>工作的全面领导</w:t>
      </w:r>
      <w:r>
        <w:rPr>
          <w:rFonts w:hint="eastAsia"/>
          <w:color w:val="auto"/>
          <w:highlight w:val="none"/>
          <w:u w:val="none"/>
          <w:lang w:val="en-US" w:eastAsia="zh-CN"/>
        </w:rPr>
        <w:t>，</w:t>
      </w:r>
      <w:r>
        <w:rPr>
          <w:rFonts w:hint="default"/>
          <w:color w:val="auto"/>
          <w:highlight w:val="none"/>
          <w:u w:val="none"/>
          <w:lang w:val="en-US" w:eastAsia="zh-CN"/>
        </w:rPr>
        <w:t>发挥好市农业农村部门牵头抓总、宏观调控作用，协调相关部门细化实化</w:t>
      </w:r>
      <w:r>
        <w:rPr>
          <w:rFonts w:hint="eastAsia"/>
          <w:color w:val="auto"/>
          <w:highlight w:val="none"/>
          <w:u w:val="none"/>
          <w:lang w:val="en-US" w:eastAsia="zh-CN"/>
        </w:rPr>
        <w:t>上级</w:t>
      </w:r>
      <w:r>
        <w:rPr>
          <w:rFonts w:hint="default"/>
          <w:color w:val="auto"/>
          <w:highlight w:val="none"/>
          <w:u w:val="none"/>
          <w:lang w:val="en-US" w:eastAsia="zh-CN"/>
        </w:rPr>
        <w:t>目标任务和具体措施，制定实施年度工作计划和任务表，全面实行目标责任制，积极</w:t>
      </w:r>
      <w:r>
        <w:rPr>
          <w:rFonts w:hint="eastAsia"/>
          <w:color w:val="auto"/>
          <w:highlight w:val="none"/>
          <w:u w:val="none"/>
          <w:lang w:val="en-US" w:eastAsia="zh-CN"/>
        </w:rPr>
        <w:t>争取上级及</w:t>
      </w:r>
      <w:r>
        <w:rPr>
          <w:rFonts w:hint="default"/>
          <w:color w:val="auto"/>
          <w:highlight w:val="none"/>
          <w:u w:val="none"/>
          <w:lang w:val="en-US" w:eastAsia="zh-CN"/>
        </w:rPr>
        <w:t>研究制定完善相关配套政策，加强资金、用地、人才等要素保障。</w:t>
      </w:r>
      <w:r>
        <w:rPr>
          <w:rFonts w:hint="eastAsia"/>
          <w:color w:val="auto"/>
          <w:highlight w:val="none"/>
          <w:u w:val="none"/>
          <w:lang w:val="en-US" w:eastAsia="zh-CN"/>
        </w:rPr>
        <w:t>动态掌握工作推进情况，及时研究解决农业农村工作和重点项目推进情况，</w:t>
      </w:r>
      <w:r>
        <w:rPr>
          <w:rFonts w:hint="default"/>
          <w:color w:val="auto"/>
          <w:highlight w:val="none"/>
          <w:u w:val="none"/>
          <w:lang w:val="en-US" w:eastAsia="zh-CN"/>
        </w:rPr>
        <w:t>确保规划方案高质量顺利推进</w:t>
      </w:r>
      <w:r>
        <w:rPr>
          <w:rFonts w:hint="eastAsia"/>
          <w:color w:val="auto"/>
          <w:highlight w:val="none"/>
          <w:u w:val="none"/>
          <w:lang w:val="en-US" w:eastAsia="zh-CN"/>
        </w:rPr>
        <w:t>。</w:t>
      </w:r>
    </w:p>
    <w:p w14:paraId="0C31D2B9">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highlight w:val="none"/>
          <w:u w:val="none"/>
          <w:lang w:val="en-US" w:eastAsia="zh-CN"/>
        </w:rPr>
      </w:pPr>
      <w:bookmarkStart w:id="230" w:name="_Toc19131"/>
      <w:bookmarkStart w:id="231" w:name="_Toc23708"/>
      <w:bookmarkStart w:id="232" w:name="_Toc3731"/>
      <w:bookmarkStart w:id="233" w:name="_Toc29839"/>
      <w:bookmarkStart w:id="234" w:name="_Toc31885"/>
      <w:r>
        <w:rPr>
          <w:rFonts w:hint="eastAsia" w:ascii="方正楷体_GB2312" w:hAnsi="方正楷体_GB2312" w:eastAsia="方正楷体_GB2312" w:cs="方正楷体_GB2312"/>
          <w:b w:val="0"/>
          <w:bCs w:val="0"/>
          <w:color w:val="auto"/>
          <w:highlight w:val="none"/>
          <w:u w:val="none"/>
          <w:lang w:val="en-US" w:eastAsia="zh-CN"/>
        </w:rPr>
        <w:t>加强人才建设</w:t>
      </w:r>
      <w:bookmarkEnd w:id="230"/>
      <w:bookmarkEnd w:id="231"/>
      <w:bookmarkEnd w:id="232"/>
      <w:bookmarkEnd w:id="233"/>
      <w:bookmarkEnd w:id="234"/>
    </w:p>
    <w:p w14:paraId="342225CB">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color w:val="auto"/>
          <w:highlight w:val="none"/>
          <w:u w:val="none"/>
          <w:lang w:val="en-US" w:eastAsia="zh-CN"/>
        </w:rPr>
      </w:pPr>
      <w:r>
        <w:rPr>
          <w:rFonts w:hint="default"/>
          <w:color w:val="auto"/>
          <w:highlight w:val="none"/>
          <w:u w:val="none"/>
          <w:lang w:val="en-US" w:eastAsia="zh-CN"/>
        </w:rPr>
        <w:t>落实省“启航计划”和</w:t>
      </w:r>
      <w:r>
        <w:rPr>
          <w:rFonts w:hint="eastAsia"/>
          <w:color w:val="auto"/>
          <w:highlight w:val="none"/>
          <w:u w:val="none"/>
          <w:lang w:val="en-US" w:eastAsia="zh-CN"/>
        </w:rPr>
        <w:t>“英才计划”</w:t>
      </w:r>
      <w:r>
        <w:rPr>
          <w:rFonts w:hint="default"/>
          <w:color w:val="auto"/>
          <w:highlight w:val="none"/>
          <w:u w:val="none"/>
          <w:lang w:val="en-US" w:eastAsia="zh-CN"/>
        </w:rPr>
        <w:t>，引进</w:t>
      </w:r>
      <w:r>
        <w:rPr>
          <w:rFonts w:hint="eastAsia"/>
          <w:color w:val="auto"/>
          <w:highlight w:val="none"/>
          <w:u w:val="none"/>
          <w:lang w:val="en-US" w:eastAsia="zh-CN"/>
        </w:rPr>
        <w:t>农业产业发展急需的高层次</w:t>
      </w:r>
      <w:r>
        <w:rPr>
          <w:rFonts w:hint="default"/>
          <w:color w:val="auto"/>
          <w:highlight w:val="none"/>
          <w:u w:val="none"/>
          <w:lang w:val="en-US" w:eastAsia="zh-CN"/>
        </w:rPr>
        <w:t>人才。</w:t>
      </w:r>
      <w:r>
        <w:rPr>
          <w:rFonts w:hint="eastAsia"/>
          <w:color w:val="auto"/>
          <w:highlight w:val="none"/>
          <w:u w:val="none"/>
          <w:lang w:val="en-US" w:eastAsia="zh-CN"/>
        </w:rPr>
        <w:t>加强乡村振兴人才驿站体系建设，围绕服务茶叶、麻竹笋等产业设立人才服务点。</w:t>
      </w:r>
      <w:r>
        <w:rPr>
          <w:rFonts w:hint="default"/>
          <w:color w:val="auto"/>
          <w:highlight w:val="none"/>
          <w:u w:val="none"/>
          <w:lang w:val="en-US" w:eastAsia="zh-CN"/>
        </w:rPr>
        <w:t>用好“清远农业培训网院”等平台，发挥农村科技特派员力量，</w:t>
      </w:r>
      <w:r>
        <w:rPr>
          <w:rFonts w:hint="eastAsia"/>
          <w:color w:val="auto"/>
          <w:highlight w:val="none"/>
          <w:u w:val="none"/>
          <w:lang w:val="en-US" w:eastAsia="zh-CN"/>
        </w:rPr>
        <w:t>按需</w:t>
      </w:r>
      <w:r>
        <w:rPr>
          <w:rFonts w:hint="default"/>
          <w:color w:val="auto"/>
          <w:highlight w:val="none"/>
          <w:u w:val="none"/>
          <w:lang w:val="en-US" w:eastAsia="zh-CN"/>
        </w:rPr>
        <w:t>开展线下线上技能培训</w:t>
      </w:r>
      <w:r>
        <w:rPr>
          <w:rFonts w:hint="eastAsia"/>
          <w:color w:val="auto"/>
          <w:highlight w:val="none"/>
          <w:u w:val="none"/>
          <w:lang w:val="en-US" w:eastAsia="zh-CN"/>
        </w:rPr>
        <w:t>。</w:t>
      </w:r>
      <w:r>
        <w:rPr>
          <w:rFonts w:hint="default"/>
          <w:color w:val="auto"/>
          <w:highlight w:val="none"/>
          <w:u w:val="none"/>
          <w:lang w:val="en-US" w:eastAsia="zh-CN"/>
        </w:rPr>
        <w:t>持续实施高素质农民培育、乡村振兴带头人“头雁”等项目，引导农业人员参与乡村工匠人才、乡土专家评定。鼓励通过聘用、贴息支持等方式吸纳乡村CEO、返乡青年等进入经营管理、专业技术及乡村振兴顾问等岗位。</w:t>
      </w:r>
    </w:p>
    <w:p w14:paraId="60406784">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eastAsia" w:ascii="方正楷体_GB2312" w:hAnsi="方正楷体_GB2312" w:eastAsia="方正楷体_GB2312" w:cs="方正楷体_GB2312"/>
          <w:b w:val="0"/>
          <w:bCs w:val="0"/>
          <w:color w:val="auto"/>
          <w:highlight w:val="none"/>
          <w:u w:val="none"/>
          <w:lang w:val="en-US" w:eastAsia="zh-CN"/>
        </w:rPr>
      </w:pPr>
      <w:bookmarkStart w:id="235" w:name="_Toc4541"/>
      <w:bookmarkStart w:id="236" w:name="_Toc5684"/>
      <w:bookmarkStart w:id="237" w:name="_Toc13652"/>
      <w:bookmarkStart w:id="238" w:name="_Toc27645"/>
      <w:bookmarkStart w:id="239" w:name="_Toc291"/>
      <w:r>
        <w:rPr>
          <w:rFonts w:hint="eastAsia" w:ascii="方正楷体_GB2312" w:hAnsi="方正楷体_GB2312" w:eastAsia="方正楷体_GB2312" w:cs="方正楷体_GB2312"/>
          <w:b w:val="0"/>
          <w:bCs w:val="0"/>
          <w:color w:val="auto"/>
          <w:highlight w:val="none"/>
          <w:u w:val="none"/>
          <w:lang w:val="en-US" w:eastAsia="zh-CN"/>
        </w:rPr>
        <w:t>动员社会参与</w:t>
      </w:r>
      <w:bookmarkEnd w:id="235"/>
      <w:bookmarkEnd w:id="236"/>
      <w:bookmarkEnd w:id="237"/>
      <w:bookmarkEnd w:id="238"/>
      <w:bookmarkEnd w:id="239"/>
    </w:p>
    <w:p w14:paraId="1292D2D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color w:val="auto"/>
          <w:highlight w:val="none"/>
          <w:u w:val="none"/>
          <w:lang w:val="en-US" w:eastAsia="zh-CN"/>
        </w:rPr>
      </w:pPr>
      <w:r>
        <w:rPr>
          <w:rFonts w:hint="default"/>
          <w:color w:val="auto"/>
          <w:highlight w:val="none"/>
          <w:u w:val="none"/>
          <w:lang w:val="en-US" w:eastAsia="zh-CN"/>
        </w:rPr>
        <w:t>引导支持社会资本投入农业农村建设，鼓励社会资本与金融机构开展合作，因地制宜创新投融资运作模式</w:t>
      </w:r>
      <w:r>
        <w:rPr>
          <w:rFonts w:hint="eastAsia"/>
          <w:color w:val="auto"/>
          <w:highlight w:val="none"/>
          <w:u w:val="none"/>
          <w:lang w:val="en-US" w:eastAsia="zh-CN"/>
        </w:rPr>
        <w:t>。</w:t>
      </w:r>
      <w:r>
        <w:rPr>
          <w:rFonts w:hint="default"/>
          <w:color w:val="auto"/>
          <w:highlight w:val="none"/>
          <w:u w:val="none"/>
          <w:lang w:val="en-US" w:eastAsia="zh-CN"/>
        </w:rPr>
        <w:t>制定和发布支持政策和服务措施，定期更新乡村振兴政策解读、产业发展成果、乡风文明建设等内容，提升农业农村发展知名度和社会影响力。搭建社会参与平台，整合政府、企业、社会组织等多方资源，充分发挥工会、共青团、妇联等作用，激发全社会参与乡村全面振兴的积极性，宣传一批作出杰出贡献的农民、科技工作者、企业家等，营造良好社会氛围。</w:t>
      </w:r>
    </w:p>
    <w:p w14:paraId="5AF12269">
      <w:pPr>
        <w:keepNext w:val="0"/>
        <w:keepLines w:val="0"/>
        <w:pageBreakBefore w:val="0"/>
        <w:widowControl w:val="0"/>
        <w:numPr>
          <w:ilvl w:val="0"/>
          <w:numId w:val="2"/>
        </w:numPr>
        <w:kinsoku w:val="0"/>
        <w:wordWrap/>
        <w:overflowPunct/>
        <w:topLinePunct w:val="0"/>
        <w:autoSpaceDE/>
        <w:autoSpaceDN/>
        <w:bidi w:val="0"/>
        <w:adjustRightInd/>
        <w:snapToGrid/>
        <w:spacing w:line="600" w:lineRule="exact"/>
        <w:ind w:firstLine="420" w:firstLineChars="0"/>
        <w:textAlignment w:val="auto"/>
        <w:outlineLvl w:val="1"/>
        <w:rPr>
          <w:rFonts w:hint="default" w:ascii="方正楷体_GB2312" w:hAnsi="方正楷体_GB2312" w:eastAsia="方正楷体_GB2312" w:cs="方正楷体_GB2312"/>
          <w:b w:val="0"/>
          <w:bCs w:val="0"/>
          <w:color w:val="auto"/>
          <w:highlight w:val="none"/>
          <w:u w:val="none"/>
          <w:lang w:val="en-US" w:eastAsia="zh-CN"/>
        </w:rPr>
      </w:pPr>
      <w:bookmarkStart w:id="240" w:name="_Toc4665"/>
      <w:bookmarkStart w:id="241" w:name="_Toc10472"/>
      <w:bookmarkStart w:id="242" w:name="_Toc16326"/>
      <w:bookmarkStart w:id="243" w:name="_Toc3326"/>
      <w:bookmarkStart w:id="244" w:name="_Toc10640"/>
      <w:r>
        <w:rPr>
          <w:rFonts w:hint="eastAsia" w:ascii="方正楷体_GB2312" w:hAnsi="方正楷体_GB2312" w:eastAsia="方正楷体_GB2312" w:cs="方正楷体_GB2312"/>
          <w:b w:val="0"/>
          <w:bCs w:val="0"/>
          <w:color w:val="auto"/>
          <w:highlight w:val="none"/>
          <w:u w:val="none"/>
          <w:lang w:val="en-US" w:eastAsia="zh-CN"/>
        </w:rPr>
        <w:t>加强招商引资</w:t>
      </w:r>
      <w:bookmarkEnd w:id="240"/>
      <w:bookmarkEnd w:id="241"/>
      <w:bookmarkEnd w:id="242"/>
      <w:bookmarkEnd w:id="243"/>
      <w:bookmarkEnd w:id="244"/>
    </w:p>
    <w:p w14:paraId="497A0111">
      <w:pPr>
        <w:keepNext w:val="0"/>
        <w:keepLines w:val="0"/>
        <w:spacing w:after="0"/>
        <w:ind w:firstLine="640" w:firstLineChars="200"/>
        <w:rPr>
          <w:rFonts w:hint="eastAsia" w:ascii="仿宋_GB2312" w:hAnsi="Calibri" w:cs="仿宋_GB2312"/>
          <w:b w:val="0"/>
          <w:bCs w:val="0"/>
          <w:color w:val="auto"/>
          <w:kern w:val="2"/>
          <w:sz w:val="32"/>
          <w:szCs w:val="32"/>
          <w:highlight w:val="none"/>
          <w:u w:val="none"/>
          <w:lang w:val="en-US" w:eastAsia="zh-CN" w:bidi="ar"/>
        </w:rPr>
        <w:sectPr>
          <w:footerReference r:id="rId6" w:type="default"/>
          <w:pgSz w:w="11906" w:h="16838"/>
          <w:pgMar w:top="1440" w:right="1800" w:bottom="1440" w:left="1800" w:header="851" w:footer="992" w:gutter="0"/>
          <w:pgNumType w:fmt="decimal" w:start="1"/>
          <w:cols w:space="425" w:num="1"/>
          <w:docGrid w:type="lines" w:linePitch="312" w:charSpace="0"/>
        </w:sectPr>
      </w:pPr>
      <w:r>
        <w:rPr>
          <w:rFonts w:hint="default"/>
          <w:color w:val="auto"/>
          <w:highlight w:val="none"/>
          <w:u w:val="none"/>
          <w:lang w:val="en-US" w:eastAsia="zh-CN"/>
        </w:rPr>
        <w:t>围绕长三角、京津冀和粤港澳大湾区等地区及中国农业500强等目标企业所在地开展招商活动，同时依托现有企业开展以商招商，突出头部企业招商，对接引入优秀企业投资。</w:t>
      </w:r>
      <w:r>
        <w:rPr>
          <w:rFonts w:hint="eastAsia"/>
          <w:color w:val="auto"/>
          <w:highlight w:val="none"/>
          <w:u w:val="none"/>
          <w:lang w:val="en-US" w:eastAsia="zh-CN"/>
        </w:rPr>
        <w:t>积极落实</w:t>
      </w:r>
      <w:r>
        <w:rPr>
          <w:rFonts w:hint="default"/>
          <w:color w:val="auto"/>
          <w:highlight w:val="none"/>
          <w:u w:val="none"/>
          <w:lang w:val="en-US" w:eastAsia="zh-CN"/>
        </w:rPr>
        <w:t>“拿地即开工”“交地即动工”模式，对亿元以上重点项目实行市领导联系制、专班跟进。</w:t>
      </w:r>
      <w:r>
        <w:rPr>
          <w:rFonts w:hint="default" w:ascii="仿宋_GB2312" w:hAnsi="Calibri" w:eastAsia="仿宋_GB2312" w:cs="仿宋_GB2312"/>
          <w:b w:val="0"/>
          <w:bCs w:val="0"/>
          <w:color w:val="auto"/>
          <w:kern w:val="2"/>
          <w:sz w:val="32"/>
          <w:szCs w:val="32"/>
          <w:highlight w:val="none"/>
          <w:u w:val="none"/>
          <w:lang w:val="en-US" w:eastAsia="zh-CN" w:bidi="ar"/>
        </w:rPr>
        <w:t>聚焦</w:t>
      </w:r>
      <w:r>
        <w:rPr>
          <w:rFonts w:hint="eastAsia" w:ascii="仿宋_GB2312" w:hAnsi="Calibri" w:cs="仿宋_GB2312"/>
          <w:b w:val="0"/>
          <w:bCs w:val="0"/>
          <w:color w:val="auto"/>
          <w:kern w:val="2"/>
          <w:sz w:val="32"/>
          <w:szCs w:val="32"/>
          <w:highlight w:val="none"/>
          <w:u w:val="none"/>
          <w:lang w:val="en-US" w:eastAsia="zh-CN" w:bidi="ar"/>
        </w:rPr>
        <w:t>“2+2+N”</w:t>
      </w:r>
      <w:r>
        <w:rPr>
          <w:rFonts w:hint="default" w:ascii="仿宋_GB2312" w:hAnsi="Calibri" w:eastAsia="仿宋_GB2312" w:cs="仿宋_GB2312"/>
          <w:b w:val="0"/>
          <w:bCs w:val="0"/>
          <w:color w:val="auto"/>
          <w:kern w:val="2"/>
          <w:sz w:val="32"/>
          <w:szCs w:val="32"/>
          <w:highlight w:val="none"/>
          <w:u w:val="none"/>
          <w:lang w:val="en-US" w:eastAsia="zh-CN" w:bidi="ar"/>
        </w:rPr>
        <w:t>特色</w:t>
      </w:r>
      <w:r>
        <w:rPr>
          <w:rFonts w:hint="eastAsia" w:ascii="仿宋_GB2312" w:hAnsi="Calibri" w:cs="仿宋_GB2312"/>
          <w:b w:val="0"/>
          <w:bCs w:val="0"/>
          <w:color w:val="auto"/>
          <w:kern w:val="2"/>
          <w:sz w:val="32"/>
          <w:szCs w:val="32"/>
          <w:highlight w:val="none"/>
          <w:u w:val="none"/>
          <w:lang w:val="en-US" w:eastAsia="zh-CN" w:bidi="ar"/>
        </w:rPr>
        <w:t>农业</w:t>
      </w:r>
      <w:r>
        <w:rPr>
          <w:rFonts w:hint="default" w:ascii="仿宋_GB2312" w:hAnsi="Calibri" w:eastAsia="仿宋_GB2312" w:cs="仿宋_GB2312"/>
          <w:b w:val="0"/>
          <w:bCs w:val="0"/>
          <w:color w:val="auto"/>
          <w:kern w:val="2"/>
          <w:sz w:val="32"/>
          <w:szCs w:val="32"/>
          <w:highlight w:val="none"/>
          <w:u w:val="none"/>
          <w:lang w:val="en-US" w:eastAsia="zh-CN" w:bidi="ar"/>
        </w:rPr>
        <w:t>产业集群，制定产业链招商图谱。采取以商招商、平台招商、基金招商等模式，重点引进产业链主企业和关键环节项目。</w:t>
      </w:r>
      <w:r>
        <w:rPr>
          <w:rFonts w:hint="eastAsia" w:ascii="仿宋_GB2312" w:hAnsi="Calibri" w:cs="仿宋_GB2312"/>
          <w:b w:val="0"/>
          <w:bCs w:val="0"/>
          <w:color w:val="auto"/>
          <w:kern w:val="2"/>
          <w:sz w:val="32"/>
          <w:szCs w:val="32"/>
          <w:highlight w:val="none"/>
          <w:u w:val="none"/>
          <w:lang w:val="en-US" w:eastAsia="zh-CN" w:bidi="ar"/>
        </w:rPr>
        <w:t>积极</w:t>
      </w:r>
      <w:r>
        <w:rPr>
          <w:rFonts w:hint="default" w:ascii="仿宋_GB2312" w:hAnsi="Calibri" w:eastAsia="仿宋_GB2312" w:cs="仿宋_GB2312"/>
          <w:b w:val="0"/>
          <w:bCs w:val="0"/>
          <w:color w:val="auto"/>
          <w:kern w:val="2"/>
          <w:sz w:val="32"/>
          <w:szCs w:val="32"/>
          <w:highlight w:val="none"/>
          <w:u w:val="none"/>
          <w:lang w:val="en-US" w:eastAsia="zh-CN" w:bidi="ar"/>
        </w:rPr>
        <w:t>推行“五办四零”硬作风，大力推动审批极限压缩，全面推行并联跑、容缺办、承诺制以及涉企“综合查一次”</w:t>
      </w:r>
      <w:r>
        <w:rPr>
          <w:rFonts w:hint="eastAsia" w:ascii="仿宋_GB2312" w:hAnsi="Calibri" w:cs="仿宋_GB2312"/>
          <w:b w:val="0"/>
          <w:bCs w:val="0"/>
          <w:color w:val="auto"/>
          <w:kern w:val="2"/>
          <w:sz w:val="32"/>
          <w:szCs w:val="32"/>
          <w:highlight w:val="none"/>
          <w:u w:val="none"/>
          <w:lang w:val="en-US" w:eastAsia="zh-CN" w:bidi="ar"/>
        </w:rPr>
        <w:t>。</w:t>
      </w:r>
    </w:p>
    <w:p w14:paraId="1B39D9FE">
      <w:pPr>
        <w:ind w:firstLine="0" w:firstLineChars="0"/>
        <w:jc w:val="left"/>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名词解释：</w:t>
      </w:r>
    </w:p>
    <w:p w14:paraId="151B9AEA">
      <w:pPr>
        <w:keepNext w:val="0"/>
        <w:keepLines w:val="0"/>
        <w:widowControl/>
        <w:suppressLineNumbers w:val="0"/>
        <w:jc w:val="both"/>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bidi="ar"/>
        </w:rPr>
        <w:t>1.“1310”具体部署：“1”是锚定“走在前列”总目标。“3”是激活改革、开放、创新“三大动力”。“10”是奋力实现“十大新突破”，具体包括：纵深推进新阶段粤港澳大湾区建设，在牵引全面深化改革开放上取得新突破；始终坚持实体经济为本、制造业当家，在建设更具国际竞争力的现代化产业体系上取得新突破；一体推进教育强省、科技创新强省、人才强省建设，在实现高水平科技自立自强上取得新突破；深入实施“百县千镇万村高质量发展工程”，在城乡区域协调发展上取得新突破；全面推进海洋强省建设，在打造海上新广东上取得新突破；深入推进绿美广东生态建设，在打造人与自然和谐共生的现代化广东样板上取得新突破；扎实推进文化强省建设，在努力交出物质文明和精神文明两份好的答卷上取得新突破；用心用情抓好民生社会事业，在推动共同富裕上取得新突破；扎实推进法治广东平安广东建设，在构建新安全格局上取得新突破；坚定不移加强党的全面领导和党的建设，在营造良好政治生态上取得新突破。</w:t>
      </w:r>
    </w:p>
    <w:p w14:paraId="7792C0C2">
      <w:pPr>
        <w:widowControl/>
        <w:jc w:val="both"/>
        <w:rPr>
          <w:rFonts w:hint="eastAsia" w:ascii="仿宋_GB2312" w:hAnsi="仿宋_GB2312" w:cs="仿宋_GB2312"/>
          <w:i w:val="0"/>
          <w:iCs w:val="0"/>
          <w:caps w:val="0"/>
          <w:color w:val="auto"/>
          <w:spacing w:val="0"/>
          <w:sz w:val="32"/>
          <w:szCs w:val="32"/>
          <w:highlight w:val="none"/>
          <w:shd w:val="clear"/>
          <w:lang w:val="en-US" w:eastAsia="zh-CN" w:bidi="ar"/>
        </w:rPr>
      </w:pPr>
      <w:r>
        <w:rPr>
          <w:rFonts w:hint="eastAsia" w:ascii="仿宋_GB2312" w:hAnsi="仿宋_GB2312" w:cs="仿宋_GB2312"/>
          <w:i w:val="0"/>
          <w:iCs w:val="0"/>
          <w:caps w:val="0"/>
          <w:color w:val="auto"/>
          <w:spacing w:val="0"/>
          <w:sz w:val="32"/>
          <w:szCs w:val="32"/>
          <w:highlight w:val="none"/>
          <w:shd w:val="clear"/>
          <w:lang w:val="en-US" w:eastAsia="zh-CN" w:bidi="ar"/>
        </w:rPr>
        <w:t>2“2+2+N”特色农业产业体系： 全力打造西牛麻竹笋、英德红茶两个百亿农业产业，大力发展丝苗米、清远鸡2个重点产业以及肉鸽、豆腐（九龙豆制品）、蚕桑、水产、水果等“N”个十亿级农业产业。</w:t>
      </w:r>
    </w:p>
    <w:p w14:paraId="3E6A1C45">
      <w:pPr>
        <w:widowControl/>
        <w:jc w:val="both"/>
        <w:rPr>
          <w:rFonts w:hint="eastAsia" w:ascii="仿宋_GB2312" w:hAnsi="仿宋_GB2312" w:eastAsia="仿宋_GB2312" w:cs="仿宋_GB2312"/>
          <w:i w:val="0"/>
          <w:iCs w:val="0"/>
          <w:caps w:val="0"/>
          <w:color w:val="auto"/>
          <w:spacing w:val="0"/>
          <w:sz w:val="32"/>
          <w:szCs w:val="32"/>
          <w:highlight w:val="none"/>
          <w:shd w:val="clear"/>
          <w:lang w:val="en-US" w:eastAsia="zh-CN" w:bidi="ar"/>
        </w:rPr>
      </w:pPr>
      <w:r>
        <w:rPr>
          <w:rFonts w:hint="eastAsia" w:ascii="仿宋_GB2312" w:hAnsi="仿宋_GB2312" w:cs="仿宋_GB2312"/>
          <w:i w:val="0"/>
          <w:iCs w:val="0"/>
          <w:caps w:val="0"/>
          <w:color w:val="auto"/>
          <w:spacing w:val="0"/>
          <w:sz w:val="32"/>
          <w:szCs w:val="32"/>
          <w:highlight w:val="none"/>
          <w:shd w:val="clear"/>
          <w:lang w:val="en-US" w:eastAsia="zh-CN" w:bidi="ar"/>
        </w:rPr>
        <w:t>3.</w:t>
      </w:r>
      <w:r>
        <w:rPr>
          <w:rFonts w:hint="eastAsia" w:ascii="仿宋_GB2312" w:hAnsi="仿宋_GB2312" w:eastAsia="仿宋_GB2312" w:cs="仿宋_GB2312"/>
          <w:i w:val="0"/>
          <w:iCs w:val="0"/>
          <w:caps w:val="0"/>
          <w:color w:val="auto"/>
          <w:spacing w:val="0"/>
          <w:sz w:val="32"/>
          <w:szCs w:val="32"/>
          <w:highlight w:val="none"/>
          <w:shd w:val="clear"/>
          <w:lang w:val="en-US" w:eastAsia="zh-CN" w:bidi="ar"/>
        </w:rPr>
        <w:t>三品一标：无公害农产品、绿色食品、有机农产品、农产品地理标志。</w:t>
      </w:r>
    </w:p>
    <w:p w14:paraId="0A4351DA">
      <w:pPr>
        <w:widowControl/>
        <w:jc w:val="both"/>
        <w:rPr>
          <w:rFonts w:hint="eastAsia" w:ascii="仿宋_GB2312" w:hAnsi="仿宋_GB2312" w:cs="仿宋_GB2312"/>
          <w:i w:val="0"/>
          <w:iCs w:val="0"/>
          <w:caps w:val="0"/>
          <w:color w:val="auto"/>
          <w:spacing w:val="0"/>
          <w:sz w:val="32"/>
          <w:szCs w:val="32"/>
          <w:highlight w:val="none"/>
          <w:shd w:val="clear"/>
          <w:lang w:val="en-US" w:eastAsia="zh-CN" w:bidi="ar"/>
        </w:rPr>
      </w:pPr>
      <w:r>
        <w:rPr>
          <w:rFonts w:hint="eastAsia" w:ascii="仿宋_GB2312" w:hAnsi="仿宋_GB2312" w:cs="仿宋_GB2312"/>
          <w:i w:val="0"/>
          <w:iCs w:val="0"/>
          <w:caps w:val="0"/>
          <w:color w:val="auto"/>
          <w:spacing w:val="0"/>
          <w:sz w:val="32"/>
          <w:szCs w:val="32"/>
          <w:highlight w:val="none"/>
          <w:shd w:val="clear"/>
          <w:lang w:val="en-US" w:eastAsia="zh-CN" w:bidi="ar"/>
        </w:rPr>
        <w:t>4.“12221”农产品市场营销体系：建设“1”个农产品大数据平台，组建销区采购商和培养产区经纪人“2”支队伍，拓展销区和产区“2”大市场，策划采购商走进产区和农产品走进大市场“2”场活动，实现品牌打造、销量提升、市场引导、品种改良、农民致富等“1”揽子目标。</w:t>
      </w:r>
    </w:p>
    <w:p w14:paraId="4707E622">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cs="仿宋_GB2312"/>
          <w:b w:val="0"/>
          <w:bCs w:val="0"/>
          <w:color w:val="auto"/>
          <w:szCs w:val="32"/>
          <w:highlight w:val="none"/>
          <w:lang w:val="en-US" w:eastAsia="zh-CN" w:bidi="ar"/>
        </w:rPr>
      </w:pPr>
      <w:r>
        <w:rPr>
          <w:rFonts w:hint="eastAsia" w:ascii="仿宋_GB2312" w:hAnsi="仿宋_GB2312" w:cs="仿宋_GB2312"/>
          <w:b w:val="0"/>
          <w:bCs w:val="0"/>
          <w:color w:val="auto"/>
          <w:szCs w:val="32"/>
          <w:highlight w:val="none"/>
          <w:lang w:val="en-US" w:eastAsia="zh-CN" w:bidi="ar"/>
        </w:rPr>
        <w:t>5.“三同五化”：同标准、同质量、同服务，以及规模化发展、标准化建设、一体化管理、专业化运作、智慧化服务。</w:t>
      </w:r>
    </w:p>
    <w:p w14:paraId="23676A59">
      <w:pPr>
        <w:widowControl/>
        <w:jc w:val="both"/>
        <w:rPr>
          <w:rFonts w:hint="default" w:ascii="仿宋_GB2312" w:hAnsi="仿宋_GB2312" w:cs="仿宋_GB2312"/>
          <w:i w:val="0"/>
          <w:iCs w:val="0"/>
          <w:caps w:val="0"/>
          <w:color w:val="auto"/>
          <w:spacing w:val="0"/>
          <w:sz w:val="32"/>
          <w:szCs w:val="32"/>
          <w:highlight w:val="none"/>
          <w:shd w:val="clear"/>
          <w:lang w:val="en-US" w:eastAsia="zh-CN" w:bidi="ar"/>
        </w:rPr>
      </w:pPr>
      <w:r>
        <w:rPr>
          <w:rFonts w:hint="eastAsia" w:ascii="仿宋_GB2312" w:hAnsi="仿宋_GB2312" w:cs="仿宋_GB2312"/>
          <w:i w:val="0"/>
          <w:iCs w:val="0"/>
          <w:caps w:val="0"/>
          <w:color w:val="auto"/>
          <w:spacing w:val="0"/>
          <w:sz w:val="32"/>
          <w:szCs w:val="32"/>
          <w:highlight w:val="none"/>
          <w:shd w:val="clear"/>
          <w:lang w:val="en-US" w:eastAsia="zh-CN" w:bidi="ar"/>
        </w:rPr>
        <w:t>6.</w:t>
      </w:r>
      <w:r>
        <w:rPr>
          <w:rFonts w:hint="default" w:ascii="仿宋_GB2312" w:hAnsi="仿宋_GB2312" w:cs="仿宋_GB2312"/>
          <w:i w:val="0"/>
          <w:iCs w:val="0"/>
          <w:caps w:val="0"/>
          <w:color w:val="auto"/>
          <w:spacing w:val="0"/>
          <w:sz w:val="32"/>
          <w:szCs w:val="32"/>
          <w:highlight w:val="none"/>
          <w:shd w:val="clear"/>
          <w:lang w:val="en-US" w:eastAsia="zh-CN" w:bidi="ar"/>
        </w:rPr>
        <w:t>“三线”：电力线、通信线、广播电视线。</w:t>
      </w:r>
    </w:p>
    <w:p w14:paraId="07AB222B">
      <w:pPr>
        <w:keepNext w:val="0"/>
        <w:keepLines w:val="0"/>
        <w:spacing w:after="0"/>
        <w:ind w:firstLine="640" w:firstLineChars="200"/>
        <w:rPr>
          <w:rFonts w:hint="default" w:ascii="仿宋_GB2312" w:hAnsi="Calibri" w:cs="仿宋_GB2312"/>
          <w:b w:val="0"/>
          <w:bCs w:val="0"/>
          <w:color w:val="auto"/>
          <w:kern w:val="2"/>
          <w:sz w:val="32"/>
          <w:szCs w:val="32"/>
          <w:highlight w:val="none"/>
          <w:u w:val="none"/>
          <w:lang w:val="en-US" w:eastAsia="zh-CN" w:bidi="ar"/>
        </w:rP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92F5E7-AE55-4B4B-9E1C-4869699394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F8DE07F-A8FE-4998-8E47-6AF9584DF42E}"/>
  </w:font>
  <w:font w:name="仿宋_GB2312">
    <w:panose1 w:val="02010609030101010101"/>
    <w:charset w:val="86"/>
    <w:family w:val="modern"/>
    <w:pitch w:val="default"/>
    <w:sig w:usb0="00000001" w:usb1="080E0000" w:usb2="00000000" w:usb3="00000000" w:csb0="00040000" w:csb1="00000000"/>
    <w:embedRegular r:id="rId3" w:fontKey="{5C0DCD44-62C0-4D18-A1DB-9F08DDBDBE10}"/>
  </w:font>
  <w:font w:name="方正楷体_GB2312">
    <w:panose1 w:val="02000000000000000000"/>
    <w:charset w:val="86"/>
    <w:family w:val="auto"/>
    <w:pitch w:val="default"/>
    <w:sig w:usb0="A00002BF" w:usb1="184F6CFA" w:usb2="00000012" w:usb3="00000000" w:csb0="00040001" w:csb1="00000000"/>
    <w:embedRegular r:id="rId4" w:fontKey="{85FD055E-D65F-4FA0-8C88-85BF9EC9F994}"/>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5" w:fontKey="{F94E6D1B-FC86-42EC-880B-5B758D5A61E4}"/>
  </w:font>
  <w:font w:name="方正仿宋_GB2312">
    <w:panose1 w:val="02000000000000000000"/>
    <w:charset w:val="86"/>
    <w:family w:val="auto"/>
    <w:pitch w:val="default"/>
    <w:sig w:usb0="A00002BF" w:usb1="184F6CFA" w:usb2="00000012" w:usb3="00000000" w:csb0="00040001" w:csb1="00000000"/>
    <w:embedRegular r:id="rId6" w:fontKey="{960A98FF-0BE5-4B7B-A035-F0C8C298429C}"/>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966E1">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19A77D">
                          <w:pPr>
                            <w:pStyle w:val="7"/>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319A77D">
                    <w:pPr>
                      <w:pStyle w:val="7"/>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9A89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288E96">
                          <w:pPr>
                            <w:pStyle w:val="7"/>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F288E96">
                    <w:pPr>
                      <w:pStyle w:val="7"/>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AAD4DD"/>
    <w:multiLevelType w:val="singleLevel"/>
    <w:tmpl w:val="C5AAD4DD"/>
    <w:lvl w:ilvl="0" w:tentative="0">
      <w:start w:val="1"/>
      <w:numFmt w:val="chineseCounting"/>
      <w:suff w:val="nothing"/>
      <w:lvlText w:val="（%1）"/>
      <w:lvlJc w:val="left"/>
      <w:pPr>
        <w:ind w:left="0" w:firstLine="420"/>
      </w:pPr>
      <w:rPr>
        <w:rFonts w:hint="eastAsia"/>
      </w:rPr>
    </w:lvl>
  </w:abstractNum>
  <w:abstractNum w:abstractNumId="1">
    <w:nsid w:val="2B9B387F"/>
    <w:multiLevelType w:val="multilevel"/>
    <w:tmpl w:val="2B9B387F"/>
    <w:lvl w:ilvl="0" w:tentative="0">
      <w:start w:val="1"/>
      <w:numFmt w:val="chineseCounting"/>
      <w:pStyle w:val="2"/>
      <w:suff w:val="space"/>
      <w:lvlText w:val="第%1章 "/>
      <w:lvlJc w:val="left"/>
      <w:pPr>
        <w:tabs>
          <w:tab w:val="left" w:pos="0"/>
        </w:tabs>
        <w:ind w:left="0" w:firstLine="0"/>
      </w:pPr>
      <w:rPr>
        <w:rFonts w:hint="eastAsia" w:eastAsia="黑体"/>
        <w:color w:val="auto"/>
        <w:sz w:val="32"/>
      </w:rPr>
    </w:lvl>
    <w:lvl w:ilvl="1" w:tentative="0">
      <w:start w:val="1"/>
      <w:numFmt w:val="chineseCounting"/>
      <w:pStyle w:val="3"/>
      <w:suff w:val="nothing"/>
      <w:lvlText w:val="%2、"/>
      <w:lvlJc w:val="left"/>
      <w:pPr>
        <w:tabs>
          <w:tab w:val="left" w:pos="420"/>
        </w:tabs>
        <w:ind w:left="-1" w:firstLine="641"/>
      </w:pPr>
      <w:rPr>
        <w:rFonts w:hint="eastAsia" w:ascii="黑体" w:hAnsi="黑体" w:eastAsia="黑体" w:cs="黑体"/>
        <w:sz w:val="32"/>
      </w:rPr>
    </w:lvl>
    <w:lvl w:ilvl="2" w:tentative="0">
      <w:start w:val="1"/>
      <w:numFmt w:val="chineseCounting"/>
      <w:pStyle w:val="4"/>
      <w:suff w:val="nothing"/>
      <w:lvlText w:val="（%3）"/>
      <w:lvlJc w:val="left"/>
      <w:pPr>
        <w:tabs>
          <w:tab w:val="left" w:pos="0"/>
        </w:tabs>
        <w:ind w:left="639" w:firstLine="640"/>
      </w:pPr>
      <w:rPr>
        <w:rFonts w:hint="eastAsia" w:eastAsia="楷体_GB2312"/>
        <w:sz w:val="32"/>
        <w:vertAlign w:val="baseline"/>
      </w:rPr>
    </w:lvl>
    <w:lvl w:ilvl="3" w:tentative="0">
      <w:start w:val="1"/>
      <w:numFmt w:val="decimal"/>
      <w:suff w:val="space"/>
      <w:lvlText w:val="%4."/>
      <w:lvlJc w:val="left"/>
      <w:pPr>
        <w:tabs>
          <w:tab w:val="left" w:pos="420"/>
        </w:tabs>
        <w:ind w:left="0" w:firstLine="641"/>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D7819"/>
    <w:rsid w:val="00714803"/>
    <w:rsid w:val="02306473"/>
    <w:rsid w:val="03595555"/>
    <w:rsid w:val="035D2D40"/>
    <w:rsid w:val="04275653"/>
    <w:rsid w:val="04286150"/>
    <w:rsid w:val="042A0CA0"/>
    <w:rsid w:val="0442423B"/>
    <w:rsid w:val="047C599F"/>
    <w:rsid w:val="048760F2"/>
    <w:rsid w:val="049F51EA"/>
    <w:rsid w:val="053242B0"/>
    <w:rsid w:val="06A116ED"/>
    <w:rsid w:val="07F25F78"/>
    <w:rsid w:val="07FB6BDB"/>
    <w:rsid w:val="083206CD"/>
    <w:rsid w:val="08BE6548"/>
    <w:rsid w:val="08ED62FB"/>
    <w:rsid w:val="09753939"/>
    <w:rsid w:val="0A6828B1"/>
    <w:rsid w:val="0A9A5ED1"/>
    <w:rsid w:val="0AC55419"/>
    <w:rsid w:val="0B8D6901"/>
    <w:rsid w:val="0CEC743A"/>
    <w:rsid w:val="0DCE1832"/>
    <w:rsid w:val="0F621C35"/>
    <w:rsid w:val="0FD04DF1"/>
    <w:rsid w:val="0FE97C61"/>
    <w:rsid w:val="0FFC7994"/>
    <w:rsid w:val="10233173"/>
    <w:rsid w:val="105A290D"/>
    <w:rsid w:val="106B68C8"/>
    <w:rsid w:val="115D4462"/>
    <w:rsid w:val="12767ED2"/>
    <w:rsid w:val="13755571"/>
    <w:rsid w:val="13AE6F67"/>
    <w:rsid w:val="13E250F3"/>
    <w:rsid w:val="149A777C"/>
    <w:rsid w:val="161D68B6"/>
    <w:rsid w:val="16E64EFA"/>
    <w:rsid w:val="177962DA"/>
    <w:rsid w:val="185D743E"/>
    <w:rsid w:val="1A204BC7"/>
    <w:rsid w:val="1A310B82"/>
    <w:rsid w:val="1AFC0863"/>
    <w:rsid w:val="1B34092A"/>
    <w:rsid w:val="1B830F69"/>
    <w:rsid w:val="1BBC7A9D"/>
    <w:rsid w:val="1C7761C9"/>
    <w:rsid w:val="1D004477"/>
    <w:rsid w:val="1D816169"/>
    <w:rsid w:val="1E49204B"/>
    <w:rsid w:val="1FF561AE"/>
    <w:rsid w:val="21052421"/>
    <w:rsid w:val="21CA2781"/>
    <w:rsid w:val="22347461"/>
    <w:rsid w:val="22394A78"/>
    <w:rsid w:val="22631AF5"/>
    <w:rsid w:val="22C97BAA"/>
    <w:rsid w:val="22EC1AEA"/>
    <w:rsid w:val="235558E1"/>
    <w:rsid w:val="23A04402"/>
    <w:rsid w:val="23C82CF4"/>
    <w:rsid w:val="2472601F"/>
    <w:rsid w:val="25494E80"/>
    <w:rsid w:val="25C24034"/>
    <w:rsid w:val="26F645CC"/>
    <w:rsid w:val="27806CA5"/>
    <w:rsid w:val="28771EAE"/>
    <w:rsid w:val="291D3074"/>
    <w:rsid w:val="29A9603F"/>
    <w:rsid w:val="2ADC2444"/>
    <w:rsid w:val="2B7B7EAF"/>
    <w:rsid w:val="2BCD3666"/>
    <w:rsid w:val="2C33078A"/>
    <w:rsid w:val="2C55425C"/>
    <w:rsid w:val="2D016192"/>
    <w:rsid w:val="2D513781"/>
    <w:rsid w:val="2E337B33"/>
    <w:rsid w:val="2E954DE4"/>
    <w:rsid w:val="2EA25753"/>
    <w:rsid w:val="2F8310E0"/>
    <w:rsid w:val="305C4646"/>
    <w:rsid w:val="320504D2"/>
    <w:rsid w:val="32546D64"/>
    <w:rsid w:val="327A2C6E"/>
    <w:rsid w:val="32F04CDF"/>
    <w:rsid w:val="32FD20BA"/>
    <w:rsid w:val="32FD564D"/>
    <w:rsid w:val="33650DA4"/>
    <w:rsid w:val="33A361F5"/>
    <w:rsid w:val="347D25A2"/>
    <w:rsid w:val="34C226AB"/>
    <w:rsid w:val="355F7D64"/>
    <w:rsid w:val="356B3A25"/>
    <w:rsid w:val="357E0CC8"/>
    <w:rsid w:val="359429C1"/>
    <w:rsid w:val="35AD6EB7"/>
    <w:rsid w:val="361372D3"/>
    <w:rsid w:val="3696675B"/>
    <w:rsid w:val="375F0685"/>
    <w:rsid w:val="37C60704"/>
    <w:rsid w:val="37CE2EF0"/>
    <w:rsid w:val="3809239F"/>
    <w:rsid w:val="384A70DE"/>
    <w:rsid w:val="38961854"/>
    <w:rsid w:val="39331DC9"/>
    <w:rsid w:val="39FD4B49"/>
    <w:rsid w:val="3A064DE8"/>
    <w:rsid w:val="3AEF1D20"/>
    <w:rsid w:val="3B691AD2"/>
    <w:rsid w:val="3BE13D5E"/>
    <w:rsid w:val="3C187054"/>
    <w:rsid w:val="3CEC29BB"/>
    <w:rsid w:val="3D346BE7"/>
    <w:rsid w:val="3D8E5820"/>
    <w:rsid w:val="3DA43295"/>
    <w:rsid w:val="3DEB0EC4"/>
    <w:rsid w:val="3F512FA9"/>
    <w:rsid w:val="3F9115F7"/>
    <w:rsid w:val="40CE4FAB"/>
    <w:rsid w:val="41D103D1"/>
    <w:rsid w:val="421D7172"/>
    <w:rsid w:val="422E137F"/>
    <w:rsid w:val="42851A8E"/>
    <w:rsid w:val="43E53CC0"/>
    <w:rsid w:val="43F42E5F"/>
    <w:rsid w:val="442723DE"/>
    <w:rsid w:val="44645950"/>
    <w:rsid w:val="44692B43"/>
    <w:rsid w:val="45576E3F"/>
    <w:rsid w:val="45846B3F"/>
    <w:rsid w:val="45F53D9A"/>
    <w:rsid w:val="47215957"/>
    <w:rsid w:val="479E1570"/>
    <w:rsid w:val="47D604EF"/>
    <w:rsid w:val="47DB78B4"/>
    <w:rsid w:val="47FB24C3"/>
    <w:rsid w:val="48163B96"/>
    <w:rsid w:val="48337ECB"/>
    <w:rsid w:val="48535EE5"/>
    <w:rsid w:val="48B441F1"/>
    <w:rsid w:val="48FD5F50"/>
    <w:rsid w:val="49913FC7"/>
    <w:rsid w:val="4A0B0C00"/>
    <w:rsid w:val="4A1B02A6"/>
    <w:rsid w:val="4B353BAA"/>
    <w:rsid w:val="4CEA52DD"/>
    <w:rsid w:val="4D8D78A2"/>
    <w:rsid w:val="4DB82272"/>
    <w:rsid w:val="4E2A50F1"/>
    <w:rsid w:val="4E5F2109"/>
    <w:rsid w:val="4E641F48"/>
    <w:rsid w:val="4F953457"/>
    <w:rsid w:val="4FDA0818"/>
    <w:rsid w:val="4FFC486B"/>
    <w:rsid w:val="503E30D6"/>
    <w:rsid w:val="50923421"/>
    <w:rsid w:val="50DD7430"/>
    <w:rsid w:val="527C1E67"/>
    <w:rsid w:val="532E7431"/>
    <w:rsid w:val="5482443D"/>
    <w:rsid w:val="5500069A"/>
    <w:rsid w:val="55E069DD"/>
    <w:rsid w:val="55E073D2"/>
    <w:rsid w:val="56156687"/>
    <w:rsid w:val="56462CE4"/>
    <w:rsid w:val="56D54068"/>
    <w:rsid w:val="58B24661"/>
    <w:rsid w:val="59705AAE"/>
    <w:rsid w:val="5A2865A3"/>
    <w:rsid w:val="5ABA77FD"/>
    <w:rsid w:val="5AC81734"/>
    <w:rsid w:val="5BD75179"/>
    <w:rsid w:val="5CB14C2F"/>
    <w:rsid w:val="5D647EF4"/>
    <w:rsid w:val="5D8C4A11"/>
    <w:rsid w:val="5DDC3F2E"/>
    <w:rsid w:val="5DE27796"/>
    <w:rsid w:val="5DE658DE"/>
    <w:rsid w:val="5DE74DAC"/>
    <w:rsid w:val="5F2931A3"/>
    <w:rsid w:val="5F2A6184"/>
    <w:rsid w:val="5F700DD2"/>
    <w:rsid w:val="5F9525E6"/>
    <w:rsid w:val="5FE60617"/>
    <w:rsid w:val="608561F0"/>
    <w:rsid w:val="609B00D0"/>
    <w:rsid w:val="61E56F44"/>
    <w:rsid w:val="624D2ADE"/>
    <w:rsid w:val="62522A10"/>
    <w:rsid w:val="62570027"/>
    <w:rsid w:val="62C531E2"/>
    <w:rsid w:val="63D86F45"/>
    <w:rsid w:val="646C600B"/>
    <w:rsid w:val="64A222A1"/>
    <w:rsid w:val="64C00105"/>
    <w:rsid w:val="652266CA"/>
    <w:rsid w:val="652C7549"/>
    <w:rsid w:val="656942F9"/>
    <w:rsid w:val="66BC0303"/>
    <w:rsid w:val="66BC2B4E"/>
    <w:rsid w:val="66D460EA"/>
    <w:rsid w:val="679B6F4D"/>
    <w:rsid w:val="699658D9"/>
    <w:rsid w:val="69A81823"/>
    <w:rsid w:val="6A793230"/>
    <w:rsid w:val="6BB06E97"/>
    <w:rsid w:val="6C1E1BFC"/>
    <w:rsid w:val="6D463172"/>
    <w:rsid w:val="6D9263B7"/>
    <w:rsid w:val="6DBE53FE"/>
    <w:rsid w:val="6DEC5AC7"/>
    <w:rsid w:val="6E1A0886"/>
    <w:rsid w:val="6E38648A"/>
    <w:rsid w:val="6E405E13"/>
    <w:rsid w:val="6E7A7577"/>
    <w:rsid w:val="6E7F4B8D"/>
    <w:rsid w:val="6F4F4560"/>
    <w:rsid w:val="6F6D0E8A"/>
    <w:rsid w:val="6FB10279"/>
    <w:rsid w:val="70120291"/>
    <w:rsid w:val="70934920"/>
    <w:rsid w:val="71257C6E"/>
    <w:rsid w:val="7164006A"/>
    <w:rsid w:val="720F447A"/>
    <w:rsid w:val="721B4BCD"/>
    <w:rsid w:val="746F1200"/>
    <w:rsid w:val="748051BB"/>
    <w:rsid w:val="768A2321"/>
    <w:rsid w:val="776B2153"/>
    <w:rsid w:val="77862AE9"/>
    <w:rsid w:val="77DE0B76"/>
    <w:rsid w:val="78774AFE"/>
    <w:rsid w:val="799F60E4"/>
    <w:rsid w:val="79AD66A2"/>
    <w:rsid w:val="7A084BF1"/>
    <w:rsid w:val="7ADA5032"/>
    <w:rsid w:val="7AE364A4"/>
    <w:rsid w:val="7C701FB9"/>
    <w:rsid w:val="7CAF0209"/>
    <w:rsid w:val="7CCC5706"/>
    <w:rsid w:val="7D7E4262"/>
    <w:rsid w:val="7E9E2E0E"/>
    <w:rsid w:val="7EB17972"/>
    <w:rsid w:val="7F370B6C"/>
    <w:rsid w:val="7F8C7541"/>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keepLines/>
      <w:widowControl w:val="0"/>
      <w:spacing w:line="360" w:lineRule="auto"/>
      <w:ind w:firstLine="560" w:firstLineChars="200"/>
      <w:jc w:val="both"/>
    </w:pPr>
    <w:rPr>
      <w:rFonts w:ascii="Times New Roman" w:hAnsi="Times New Roman" w:eastAsia="仿宋_GB2312" w:cstheme="minorBidi"/>
      <w:kern w:val="2"/>
      <w:sz w:val="32"/>
      <w:szCs w:val="24"/>
      <w:lang w:val="en-US" w:eastAsia="zh-CN" w:bidi="ar-SA"/>
    </w:rPr>
  </w:style>
  <w:style w:type="paragraph" w:styleId="2">
    <w:name w:val="heading 1"/>
    <w:basedOn w:val="1"/>
    <w:next w:val="1"/>
    <w:qFormat/>
    <w:uiPriority w:val="0"/>
    <w:pPr>
      <w:keepNext/>
      <w:keepLines/>
      <w:numPr>
        <w:ilvl w:val="0"/>
        <w:numId w:val="1"/>
      </w:numPr>
      <w:spacing w:before="50" w:beforeLines="50" w:beforeAutospacing="0" w:after="200" w:afterLines="200" w:afterAutospacing="0" w:line="560" w:lineRule="exact"/>
      <w:ind w:firstLineChars="0"/>
      <w:jc w:val="center"/>
      <w:outlineLvl w:val="0"/>
    </w:pPr>
    <w:rPr>
      <w:rFonts w:eastAsia="黑体"/>
      <w:kern w:val="44"/>
    </w:rPr>
  </w:style>
  <w:style w:type="paragraph" w:styleId="3">
    <w:name w:val="heading 2"/>
    <w:basedOn w:val="1"/>
    <w:next w:val="1"/>
    <w:unhideWhenUsed/>
    <w:qFormat/>
    <w:uiPriority w:val="0"/>
    <w:pPr>
      <w:keepNext/>
      <w:keepLines/>
      <w:numPr>
        <w:ilvl w:val="1"/>
        <w:numId w:val="1"/>
      </w:numPr>
      <w:spacing w:beforeLines="0" w:beforeAutospacing="0" w:afterLines="0" w:afterAutospacing="0" w:line="360" w:lineRule="auto"/>
      <w:ind w:firstLine="641" w:firstLineChars="0"/>
      <w:outlineLvl w:val="1"/>
    </w:pPr>
    <w:rPr>
      <w:rFonts w:ascii="Arial" w:hAnsi="Arial" w:eastAsia="黑体"/>
    </w:rPr>
  </w:style>
  <w:style w:type="paragraph" w:styleId="4">
    <w:name w:val="heading 3"/>
    <w:basedOn w:val="1"/>
    <w:next w:val="1"/>
    <w:unhideWhenUsed/>
    <w:qFormat/>
    <w:uiPriority w:val="0"/>
    <w:pPr>
      <w:keepNext/>
      <w:keepLines/>
      <w:numPr>
        <w:ilvl w:val="2"/>
        <w:numId w:val="1"/>
      </w:numPr>
      <w:spacing w:beforeLines="0" w:beforeAutospacing="0" w:afterLines="0" w:afterAutospacing="0" w:line="360" w:lineRule="auto"/>
      <w:ind w:firstLine="641" w:firstLineChars="0"/>
      <w:outlineLvl w:val="2"/>
    </w:pPr>
    <w:rPr>
      <w:rFonts w:eastAsia="楷体_GB2312"/>
    </w:rPr>
  </w:style>
  <w:style w:type="character" w:default="1" w:styleId="14">
    <w:name w:val="Default Paragraph Font"/>
    <w:semiHidden/>
    <w:qFormat/>
    <w:uiPriority w:val="0"/>
  </w:style>
  <w:style w:type="table" w:default="1" w:styleId="1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toa heading"/>
    <w:basedOn w:val="1"/>
    <w:next w:val="1"/>
    <w:unhideWhenUsed/>
    <w:qFormat/>
    <w:uiPriority w:val="99"/>
    <w:pPr>
      <w:spacing w:before="120" w:beforeLines="0" w:beforeAutospacing="0"/>
    </w:pPr>
    <w:rPr>
      <w:rFonts w:ascii="Arial" w:hAnsi="Arial"/>
      <w:sz w:val="24"/>
    </w:rPr>
  </w:style>
  <w:style w:type="paragraph" w:styleId="6">
    <w:name w:val="toc 3"/>
    <w:basedOn w:val="1"/>
    <w:next w:val="1"/>
    <w:qFormat/>
    <w:uiPriority w:val="0"/>
    <w:pPr>
      <w:spacing w:line="420" w:lineRule="exact"/>
      <w:ind w:left="840" w:leftChars="400"/>
    </w:pPr>
    <w:rPr>
      <w:rFonts w:eastAsia="方正楷体_GB2312" w:asciiTheme="minorAscii" w:hAnsiTheme="minorAscii"/>
      <w:sz w:val="2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spacing w:line="420" w:lineRule="exact"/>
    </w:pPr>
    <w:rPr>
      <w:rFonts w:eastAsia="黑体" w:asciiTheme="minorAscii" w:hAnsiTheme="minorAscii"/>
      <w:sz w:val="28"/>
    </w:rPr>
  </w:style>
  <w:style w:type="paragraph" w:styleId="10">
    <w:name w:val="footnote text"/>
    <w:basedOn w:val="1"/>
    <w:qFormat/>
    <w:uiPriority w:val="0"/>
    <w:pPr>
      <w:snapToGrid w:val="0"/>
      <w:spacing w:line="240" w:lineRule="auto"/>
      <w:ind w:firstLine="0" w:firstLineChars="0"/>
      <w:jc w:val="left"/>
    </w:pPr>
    <w:rPr>
      <w:sz w:val="18"/>
    </w:rPr>
  </w:style>
  <w:style w:type="paragraph" w:styleId="11">
    <w:name w:val="toc 2"/>
    <w:basedOn w:val="1"/>
    <w:next w:val="1"/>
    <w:qFormat/>
    <w:uiPriority w:val="0"/>
    <w:pPr>
      <w:ind w:left="420" w:leftChars="200"/>
    </w:pPr>
    <w:rPr>
      <w:rFonts w:asciiTheme="minorAscii" w:hAnsiTheme="minorAscii"/>
      <w:sz w:val="28"/>
    </w:rPr>
  </w:style>
  <w:style w:type="table" w:styleId="13">
    <w:name w:val="Table Grid"/>
    <w:basedOn w:val="12"/>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5">
    <w:name w:val="FollowedHyperlink"/>
    <w:basedOn w:val="14"/>
    <w:qFormat/>
    <w:uiPriority w:val="0"/>
    <w:rPr>
      <w:color w:val="800080"/>
      <w:u w:val="single"/>
    </w:rPr>
  </w:style>
  <w:style w:type="character" w:styleId="16">
    <w:name w:val="Emphasis"/>
    <w:basedOn w:val="14"/>
    <w:qFormat/>
    <w:uiPriority w:val="0"/>
    <w:rPr>
      <w:i/>
    </w:rPr>
  </w:style>
  <w:style w:type="character" w:styleId="17">
    <w:name w:val="Hyperlink"/>
    <w:basedOn w:val="14"/>
    <w:qFormat/>
    <w:uiPriority w:val="0"/>
    <w:rPr>
      <w:color w:val="0000FF"/>
      <w:u w:val="single"/>
    </w:rPr>
  </w:style>
  <w:style w:type="character" w:styleId="18">
    <w:name w:val="footnote reference"/>
    <w:basedOn w:val="14"/>
    <w:qFormat/>
    <w:uiPriority w:val="0"/>
    <w:rPr>
      <w:vertAlign w:val="superscript"/>
    </w:rPr>
  </w:style>
  <w:style w:type="paragraph" w:customStyle="1" w:styleId="19">
    <w:name w:val="正文首行缩进 21"/>
    <w:basedOn w:val="1"/>
    <w:qFormat/>
    <w:uiPriority w:val="0"/>
    <w:pPr>
      <w:spacing w:after="120"/>
      <w:ind w:left="420" w:leftChars="200" w:firstLine="420"/>
    </w:pPr>
    <w:rPr>
      <w:rFonts w:ascii="Times New Roman" w:hAnsi="Times New Roman" w:cs="Times New Roman"/>
    </w:rPr>
  </w:style>
  <w:style w:type="paragraph" w:customStyle="1" w:styleId="20">
    <w:name w:val="正文正"/>
    <w:basedOn w:val="1"/>
    <w:autoRedefine/>
    <w:qFormat/>
    <w:uiPriority w:val="0"/>
    <w:pPr>
      <w:spacing w:line="560" w:lineRule="exact"/>
      <w:ind w:firstLine="561"/>
    </w:pPr>
    <w:rPr>
      <w:rFonts w:ascii="Times New Roman" w:hAnsi="Times New Roman" w:eastAsia="仿宋_GB2312"/>
      <w:sz w:val="28"/>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822e0a2f-9390-4ede-8f91-23159d5e4db2</errorID>
      <errorWord>近平总书记</errorWord>
      <group>L1_Political</group>
      <groupName>政治性问题</groupName>
      <ability>L2_Unpolitical</ability>
      <abilityName>政治敏感错误</abilityName>
      <candidateList>
        <item>习近平总书记</item>
      </candidateList>
      <explain/>
      <paraID>59F2DF4D</paraID>
      <start>51</start>
      <end>56</end>
      <status>ignored</status>
      <modifiedWord/>
      <trackRevisions>false</trackRevisions>
    </reviewItem>
    <reviewItem>
      <errorID>54483484-de36-43e4-9318-74b30317f23b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7675FFFF</paraID>
      <start>45</start>
      <end>46</end>
      <status>unmodified</status>
      <modifiedWord/>
      <trackRevisions>false</trackRevisions>
    </reviewItem>
    <reviewItem>
      <errorID>d4e50155-7e41-42b6-aaeb-443e168ed912</errorID>
      <errorWord>&gt;</errorWord>
      <group>L1_Punc</group>
      <groupName>标点问题</groupName>
      <ability>L2_Punc_CN</ability>
      <abilityName>标点符号检查</abilityName>
      <candidateList/>
      <explain/>
      <paraID>6C59ACBB</paraID>
      <start>0</start>
      <end>1</end>
      <status>unmodified</status>
      <modifiedWord/>
      <trackRevisions>false</trackRevisions>
    </reviewItem>
    <reviewItem>
      <errorID>e3283d36-f424-4b97-b1a6-35d79f303b22</errorID>
      <errorWord>&gt;</errorWord>
      <group>L1_Punc</group>
      <groupName>标点问题</groupName>
      <ability>L2_Punc_CN</ability>
      <abilityName>标点符号检查</abilityName>
      <candidateList/>
      <explain/>
      <paraID>2ACCB842</paraID>
      <start>0</start>
      <end>1</end>
      <status>unmodified</status>
      <modifiedWord/>
      <trackRevisions>false</trackRevisions>
    </reviewItem>
    <reviewItem>
      <errorID>afc9992a-0aef-474e-9fc0-6567823e012f</errorID>
      <errorWord>&gt;</errorWord>
      <group>L1_Punc</group>
      <groupName>标点问题</groupName>
      <ability>L2_Punc_CN</ability>
      <abilityName>标点符号检查</abilityName>
      <candidateList/>
      <explain/>
      <paraID>435353B5</paraID>
      <start>0</start>
      <end>1</end>
      <status>unmodified</status>
      <modifiedWord/>
      <trackRevisions>false</trackRevisions>
    </reviewItem>
    <reviewItem>
      <errorID>63f0f0df-bff6-4cee-9559-20c5c3d80ab6</errorID>
      <errorWord>&gt;</errorWord>
      <group>L1_Punc</group>
      <groupName>标点问题</groupName>
      <ability>L2_Punc_CN</ability>
      <abilityName>标点符号检查</abilityName>
      <candidateList/>
      <explain/>
      <paraID>3A737CC1</paraID>
      <start>0</start>
      <end>1</end>
      <status>unmodified</status>
      <modifiedWord/>
      <trackRevisions>false</trackRevisions>
    </reviewItem>
    <reviewItem>
      <errorID>9d066fec-ed23-4628-82a0-9d3556cd3d3a</errorID>
      <errorWord>-</errorWord>
      <group>L1_Format</group>
      <groupName>格式问题</groupName>
      <ability>L2_HalfPunc_CN</ability>
      <abilityName>全半角检查</abilityName>
      <candidateList>
        <item>－</item>
      </candidateList>
      <explain>文本全半角错误。</explain>
      <paraID>181273BC</paraID>
      <start>240</start>
      <end>241</end>
      <status>unmodified</status>
      <modifiedWord/>
      <trackRevisions>false</trackRevisions>
    </reviewItem>
    <reviewItem>
      <errorID>f3941c3f-0aa9-4d63-a76c-1addbb6ea396</errorID>
      <errorWord>-</errorWord>
      <group>L1_Format</group>
      <groupName>格式问题</groupName>
      <ability>L2_HalfPunc_CN</ability>
      <abilityName>全半角检查</abilityName>
      <candidateList>
        <item>－</item>
      </candidateList>
      <explain>文本全半角错误。</explain>
      <paraID>181273BC</paraID>
      <start>242</start>
      <end>243</end>
      <status>unmodified</status>
      <modifiedWord/>
      <trackRevisions>false</trackRevisions>
    </reviewItem>
    <reviewItem>
      <errorID>d4368296-023d-423c-b885-3aa89d0d6f96</errorID>
      <errorWord>带货</errorWord>
      <group>L1_Official</group>
      <groupName>公文问题</groupName>
      <ability>L2_Official</ability>
      <abilityName>公文问题</abilityName>
      <candidateList/>
      <explain>公文中禁止出现该词语</explain>
      <paraID>2F4BA0BD</paraID>
      <start>149</start>
      <end>151</end>
      <status>unmodified</status>
      <modifiedWord/>
      <trackRevisions>false</trackRevisions>
    </reviewItem>
    <reviewItem>
      <errorID>2b5feb30-40f6-43b7-8dac-c52f6bc5e409</errorID>
      <errorWord>农业适度规模化经营</errorWord>
      <group>L1_Political</group>
      <groupName>政治性问题</groupName>
      <ability>L2_Unpolitical</ability>
      <abilityName>政治敏感错误</abilityName>
      <candidateList>
        <item>农业适度规模经营</item>
      </candidateList>
      <explain/>
      <paraID>6D18179A</paraID>
      <start>4</start>
      <end>13</end>
      <status>unmodified</status>
      <modifiedWord/>
      <trackRevisions>false</trackRevisions>
    </reviewItem>
    <reviewItem>
      <errorID>68f82150-15f2-47a1-a4d8-f9954dcbef93</errorID>
      <errorWord>-</errorWord>
      <group>L1_Format</group>
      <groupName>格式问题</groupName>
      <ability>L2_HalfPunc_CN</ability>
      <abilityName>全半角检查</abilityName>
      <candidateList>
        <item>－</item>
      </candidateList>
      <explain>文本全半角错误。</explain>
      <paraID>6DAD3166</paraID>
      <start>199</start>
      <end>200</end>
      <status>unmodified</status>
      <modifiedWord/>
      <trackRevisions>false</trackRevisions>
    </reviewItem>
    <reviewItem>
      <errorID>12efec43-a886-4b4f-af37-ffd443403631</errorID>
      <errorWord>-</errorWord>
      <group>L1_Format</group>
      <groupName>格式问题</groupName>
      <ability>L2_HalfPunc_CN</ability>
      <abilityName>全半角检查</abilityName>
      <candidateList>
        <item>－</item>
      </candidateList>
      <explain>文本全半角错误。</explain>
      <paraID>6DAD3166</paraID>
      <start>213</start>
      <end>214</end>
      <status>unmodified</status>
      <modifiedWord/>
      <trackRevisions>false</trackRevisions>
    </reviewItem>
    <reviewItem>
      <errorID>f8ce6353-b386-4a6a-a569-021737e1a971</errorID>
      <errorWord>-</errorWord>
      <group>L1_Format</group>
      <groupName>格式问题</groupName>
      <ability>L2_HalfPunc_CN</ability>
      <abilityName>全半角检查</abilityName>
      <candidateList>
        <item>－</item>
      </candidateList>
      <explain>文本全半角错误。</explain>
      <paraID>6DAD3166</paraID>
      <start>218</start>
      <end>219</end>
      <status>unmodified</status>
      <modifiedWord/>
      <trackRevisions>false</trackRevisions>
    </reviewItem>
    <reviewItem>
      <errorID>a06de4a5-5300-4b92-bd15-a8c3a4bde1c8</errorID>
      <errorWord>、就</errorWord>
      <group>L1_Punc</group>
      <groupName>标点问题</groupName>
      <ability>L2_Punc_CN</ability>
      <abilityName>标点符号检查</abilityName>
      <candidateList>
        <item>，就</item>
      </candidateList>
      <explain>连接词前后不宜使用顿号，建议使用逗号。</explain>
      <paraID>5F09414F</paraID>
      <start>35</start>
      <end>37</end>
      <status>unmodified</status>
      <modifiedWord/>
      <trackRevisions>false</trackRevisions>
    </reviewItem>
    <reviewItem>
      <errorID>ce2745cc-9304-45e2-b990-b37228d36222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6C4E38A7</paraID>
      <start>49</start>
      <end>50</end>
      <status>unmodified</status>
      <modifiedWord/>
      <trackRevisions>false</trackRevisions>
    </reviewItem>
    <reviewItem>
      <errorID>ccfe682e-2c68-4848-ab67-aaea3d7c74e5</errorID>
      <errorWord>万企兴万村”行动</errorWord>
      <group>L1_Political</group>
      <groupName>政治性问题</groupName>
      <ability>L2_Keyword</ability>
      <abilityName>固定表述</abilityName>
      <candidateList>
        <item>“万企兴万村”行动</item>
      </candidateList>
      <explain>注意检查当前固定表述标点是否使用规范。</explain>
      <paraID>5CBD49F0</paraID>
      <start>250</start>
      <end>258</end>
      <status>unmodified</status>
      <modifiedWord/>
      <trackRevisions>false</trackRevisions>
    </reviewItem>
    <reviewItem>
      <errorID>b737aa17-44e5-400d-96d2-18da839055ee</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4DC151F5</paraID>
      <start>163</start>
      <end>164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c9ace9-6390-4f3f-a4e3-5a5535a17f7c}">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14278</Words>
  <Characters>14663</Characters>
  <Lines>1</Lines>
  <Paragraphs>1</Paragraphs>
  <TotalTime>0</TotalTime>
  <ScaleCrop>false</ScaleCrop>
  <LinksUpToDate>false</LinksUpToDate>
  <CharactersWithSpaces>14813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2026-01-10T01:23:00Z</dcterms:created>
  <dc:creator>Lenovo</dc:creator>
  <cp:lastModifiedBy>省农科院-huang</cp:lastModifiedBy>
  <dcterms:modified xsi:type="dcterms:W3CDTF">2026-07-21T00:22:06Z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69F4244CD2CE4295B4A5B5A0315480B3_13</vt:lpwstr>
  </property>
  <property fmtid="{D5CDD505-2E9C-101B-9397-08002B2CF9AE}" pid="4" name="KSOTemplateDocerSaveRecord">
    <vt:lpwstr>eyJoZGlkIjoiYWY5NjM5OTA5OGZhMzdjYmVkMTBmNGMwYmViZWJmNTgiLCJ1c2VySWQiOiIyNTQ2NDYzOCJ9</vt:lpwstr>
  </property>
</Properties>
</file>