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个体工商户有以下情形之一的，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不得申报或者推荐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为“名特优新”个体工商户：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1.个体工商户已转型升级为企业的；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2.个体工商户已被吊销、撤销或注销的；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3.个体工商户已被另册管理的;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4.上一年度未报送年度报告的（认定当年新成立的个体工商户除外）；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5.被市场监管部门标记为经营异常状态，尚未恢复正常记载状态的；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6.被列入市场监督管理严重违法失信名单，未实施信用修复的；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7.被税务部门列为“非正常户”，尚未解除的；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8.依据《市场主体登记管理条例》已办理歇业备案，尚在法定最长歇业期内的（季节性经营的个体工商户除外）；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9.分型结果不符合“成长型”或“发展型”标准的（部门推荐认定的除外）；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10.有在国家企业信用信息公示系统公示的罚款及以上行政处罚信息，尚未完成信用修复的；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11.个体工商户经营者被人民法院列为失信被执行人的；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12.同一自然人在同一县级行政区域内，有其他“名特优新”个体工商户的。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2150CE"/>
    <w:rsid w:val="0A21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2026-08-28T09:13:00Z</dcterms:created>
  <dc:creator>谭晖晖</dc:creator>
  <cp:lastModifiedBy>谭晖晖</cp:lastModifiedBy>
  <dcterms:modified xsi:type="dcterms:W3CDTF">2026-08-28T09:14:41Z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