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579" w:lineRule="exact"/>
        <w:ind w:right="0" w:rightChars="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Lines="0" w:beforeAutospacing="0" w:after="0" w:afterLines="0" w:afterAutospacing="0" w:line="579" w:lineRule="exact"/>
        <w:ind w:right="0" w:rightChars="0"/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eastAsia="zh-CN"/>
        </w:rPr>
        <w:t>2022年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  <w:t>元旦春节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eastAsia="zh-CN"/>
        </w:rPr>
        <w:t>期间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</w:rPr>
        <w:t>食品安全专项抽检品种、检验项目</w:t>
      </w:r>
    </w:p>
    <w:tbl>
      <w:tblPr>
        <w:tblStyle w:val="11"/>
        <w:tblW w:w="0" w:type="auto"/>
        <w:tblInd w:w="-5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895"/>
        <w:gridCol w:w="720"/>
        <w:gridCol w:w="1350"/>
        <w:gridCol w:w="1965"/>
        <w:gridCol w:w="89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食品大类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食品亚类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食品品种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食品细类</w:t>
            </w:r>
          </w:p>
        </w:tc>
        <w:tc>
          <w:tcPr>
            <w:tcW w:w="8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大米</w:t>
            </w:r>
          </w:p>
        </w:tc>
        <w:tc>
          <w:tcPr>
            <w:tcW w:w="8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lang w:val="en-US" w:eastAsia="zh-CN" w:bidi="ar"/>
              </w:rPr>
              <w:t>总汞（以Hg计）、无机砷（以As计）、铅（以Pb计）、镉（以Cd计）、黄曲霉毒素B</w:t>
            </w:r>
            <w:r>
              <w:rPr>
                <w:rStyle w:val="18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食用植物油（含煎炸用油）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食用植物油（半精炼、全精炼）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花生油</w:t>
            </w:r>
          </w:p>
        </w:tc>
        <w:tc>
          <w:tcPr>
            <w:tcW w:w="8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酸值/酸价、过氧化值、总砷、铅、黄曲霉毒素B1、苯并[a]芘、溶剂残留量、丁基羟基茴香醚（BHA）、二丁基羟基甲苯（BHT）、特丁基对苯二酚（TBHQ）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玉米油</w:t>
            </w:r>
          </w:p>
        </w:tc>
        <w:tc>
          <w:tcPr>
            <w:tcW w:w="8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酸值/酸价、过氧化值、总砷、铅、黄曲霉毒素B1、苯并[a]芘、溶剂残留量、丁基羟基茴香醚（BHA）、二丁基羟基甲苯（BHT）、特丁基对苯二酚（TBHQ）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芝麻油</w:t>
            </w:r>
          </w:p>
        </w:tc>
        <w:tc>
          <w:tcPr>
            <w:tcW w:w="8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酸值/酸价、过氧化值、总砷、铅、苯并[a]芘、溶剂残留量、丁基羟基茴香醚（BHA）、二丁基羟基甲苯（BHT）、特丁基对苯二酚（TBHQ）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菜籽油</w:t>
            </w:r>
          </w:p>
        </w:tc>
        <w:tc>
          <w:tcPr>
            <w:tcW w:w="8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酸值/酸价、过氧化值、总砷、铅、苯并[a]芘、溶剂残留量、丁基羟基茴香醚（BHA）、二丁基羟基甲苯（BHT）、特丁基对苯二酚（TBHQ）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橄榄油、油橄榄 果渣油</w:t>
            </w:r>
          </w:p>
        </w:tc>
        <w:tc>
          <w:tcPr>
            <w:tcW w:w="8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酸值/酸价、过氧化值、总砷（以As计）、铅（以Pb计）、苯并[a]芘、溶剂残留量、丁基羟基茴香醚(BHA)、二丁基羟基甲苯 (BHT)、特丁基对苯二酚(TBHQ)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大豆油</w:t>
            </w:r>
          </w:p>
        </w:tc>
        <w:tc>
          <w:tcPr>
            <w:tcW w:w="8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酸值/酸价、过氧化值、总砷、铅、苯并[a]芘、溶剂残留量、丁基羟基茴香醚（BHA）、二丁基羟基甲苯（BHT）、特丁基对苯二酚（TBHQ）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8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酸值/酸价、过氧化值、总砷、铅、苯并[a]芘、溶剂残留量、丁基羟基茴香醚（BHA）、二丁基羟基甲苯（BHT）、特丁基对苯二酚（TBHQ）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酱油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酱油</w:t>
            </w:r>
          </w:p>
        </w:tc>
        <w:tc>
          <w:tcPr>
            <w:tcW w:w="8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lang w:val="en-US" w:eastAsia="zh-CN" w:bidi="ar"/>
              </w:rPr>
              <w:t>氨基酸态氮、铵盐（以占氨基酸态氮的百分比计）、铅（以Pb计）、总砷（以As计）、黄曲霉毒素B</w:t>
            </w:r>
            <w:r>
              <w:rPr>
                <w:rStyle w:val="18"/>
                <w:lang w:val="en-US" w:eastAsia="zh-CN" w:bidi="ar"/>
              </w:rPr>
              <w:t>1</w:t>
            </w:r>
            <w:r>
              <w:rPr>
                <w:rStyle w:val="17"/>
                <w:lang w:val="en-US" w:eastAsia="zh-CN" w:bidi="ar"/>
              </w:rPr>
              <w:t>、苯甲酸及其钠盐（以苯甲酸计）、山梨酸及其钾盐（以山梨酸计）、脱氢乙酸及其钠盐（以脱氢乙酸计）、防腐剂混合使用时各自用量占其最大使用量的比例之和、糖精钠（以糖精计）、菌落总数、大肠菌群、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食醋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食醋</w:t>
            </w:r>
          </w:p>
        </w:tc>
        <w:tc>
          <w:tcPr>
            <w:tcW w:w="8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lang w:val="en-US" w:eastAsia="zh-CN" w:bidi="ar"/>
              </w:rPr>
              <w:t>不挥发酸（以乳酸计）、铅（以Pb计）、总砷（以As计）、苯甲酸及其钠盐（以苯甲酸计）、山梨酸及其钾盐（以山梨酸计）、脱氢乙酸及其钠盐（以脱氢乙酸计）、防腐剂混合使用时各自用量占其最大使用量的比例之和、糖精钠（以糖精计）、菌落总数、大肠菌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肉制品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预制肉制品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腌腊肉制品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腌腊肉制品</w:t>
            </w:r>
          </w:p>
        </w:tc>
        <w:tc>
          <w:tcPr>
            <w:tcW w:w="8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氧化值（以脂肪计）、苯甲酸及其钠盐（以苯甲酸计）、山梨酸及其钾盐（以山梨酸计）、脱氢乙酸及其钠盐（以脱氢乙酸计）、亚硝酸盐（以亚硝酸钠计）、胭脂红、铅（以Pb计）、镉（以Cd计）、总砷（以As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乳制品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乳制品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液体乳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巴氏杀菌乳</w:t>
            </w:r>
          </w:p>
        </w:tc>
        <w:tc>
          <w:tcPr>
            <w:tcW w:w="8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蛋白质、酸度、菌落总数、大肠菌群、黄曲霉毒素M1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灭菌乳</w:t>
            </w:r>
          </w:p>
        </w:tc>
        <w:tc>
          <w:tcPr>
            <w:tcW w:w="8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蛋白质、非脂乳固体、酸度、脂肪、商业无菌、黄曲霉毒素M1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发酵乳</w:t>
            </w:r>
          </w:p>
        </w:tc>
        <w:tc>
          <w:tcPr>
            <w:tcW w:w="8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蛋白质、酸度、脂肪、大肠菌群、酵母、霉菌、黄曲霉毒素M1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调制乳</w:t>
            </w:r>
          </w:p>
        </w:tc>
        <w:tc>
          <w:tcPr>
            <w:tcW w:w="8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蛋白质、脂肪、商业无菌、菌落总数、大肠菌群、黄曲霉毒素M1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瓶（桶）装饮用水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饮用天然矿泉水</w:t>
            </w:r>
          </w:p>
        </w:tc>
        <w:tc>
          <w:tcPr>
            <w:tcW w:w="8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lang w:val="en-US" w:eastAsia="zh-CN" w:bidi="ar"/>
              </w:rPr>
              <w:t>溴酸盐、硝酸盐(以NO</w:t>
            </w:r>
            <w:r>
              <w:rPr>
                <w:rStyle w:val="18"/>
                <w:lang w:val="en-US" w:eastAsia="zh-CN" w:bidi="ar"/>
              </w:rPr>
              <w:t>3</w:t>
            </w:r>
            <w:r>
              <w:rPr>
                <w:rStyle w:val="17"/>
                <w:lang w:val="en-US" w:eastAsia="zh-CN" w:bidi="ar"/>
              </w:rPr>
              <w:t>-计)、亚硝酸盐(以NO</w:t>
            </w:r>
            <w:r>
              <w:rPr>
                <w:rStyle w:val="18"/>
                <w:lang w:val="en-US" w:eastAsia="zh-CN" w:bidi="ar"/>
              </w:rPr>
              <w:t>2</w:t>
            </w:r>
            <w:r>
              <w:rPr>
                <w:rStyle w:val="17"/>
                <w:lang w:val="en-US" w:eastAsia="zh-CN" w:bidi="ar"/>
              </w:rPr>
              <w:t>-计)、大肠菌群、粪链球菌、产气荚膜梭菌、铜绿假单胞菌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饮用纯净水</w:t>
            </w:r>
          </w:p>
        </w:tc>
        <w:tc>
          <w:tcPr>
            <w:tcW w:w="8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lang w:val="en-US" w:eastAsia="zh-CN" w:bidi="ar"/>
              </w:rPr>
              <w:t>电导率、耗氧量(以O</w:t>
            </w:r>
            <w:r>
              <w:rPr>
                <w:rStyle w:val="18"/>
                <w:lang w:val="en-US" w:eastAsia="zh-CN" w:bidi="ar"/>
              </w:rPr>
              <w:t>2</w:t>
            </w:r>
            <w:r>
              <w:rPr>
                <w:rStyle w:val="17"/>
                <w:lang w:val="en-US" w:eastAsia="zh-CN" w:bidi="ar"/>
              </w:rPr>
              <w:t>计)、亚硝酸盐(以NO</w:t>
            </w:r>
            <w:r>
              <w:rPr>
                <w:rStyle w:val="18"/>
                <w:lang w:val="en-US" w:eastAsia="zh-CN" w:bidi="ar"/>
              </w:rPr>
              <w:t>2</w:t>
            </w:r>
            <w:r>
              <w:rPr>
                <w:rStyle w:val="17"/>
                <w:lang w:val="en-US" w:eastAsia="zh-CN" w:bidi="ar"/>
              </w:rPr>
              <w:t>-计)、余氯(游离氯)、三氯甲烷、溴酸盐、大肠菌群、铜绿假单胞菌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其他饮用水</w:t>
            </w:r>
          </w:p>
        </w:tc>
        <w:tc>
          <w:tcPr>
            <w:tcW w:w="8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7"/>
                <w:lang w:val="en-US" w:eastAsia="zh-CN" w:bidi="ar"/>
              </w:rPr>
              <w:t>耗氧量(以O</w:t>
            </w:r>
            <w:r>
              <w:rPr>
                <w:rStyle w:val="18"/>
                <w:lang w:val="en-US" w:eastAsia="zh-CN" w:bidi="ar"/>
              </w:rPr>
              <w:t>2</w:t>
            </w:r>
            <w:r>
              <w:rPr>
                <w:rStyle w:val="17"/>
                <w:lang w:val="en-US" w:eastAsia="zh-CN" w:bidi="ar"/>
              </w:rPr>
              <w:t>计)、亚硝酸盐(以NO</w:t>
            </w:r>
            <w:r>
              <w:rPr>
                <w:rStyle w:val="18"/>
                <w:lang w:val="en-US" w:eastAsia="zh-CN" w:bidi="ar"/>
              </w:rPr>
              <w:t>2</w:t>
            </w:r>
            <w:r>
              <w:rPr>
                <w:rStyle w:val="17"/>
                <w:lang w:val="en-US" w:eastAsia="zh-CN" w:bidi="ar"/>
              </w:rPr>
              <w:t>-计)、三氯甲烷、溴酸盐、大肠菌群、铜绿假单胞菌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果、蔬汁饮料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果、蔬汁饮料</w:t>
            </w:r>
          </w:p>
        </w:tc>
        <w:tc>
          <w:tcPr>
            <w:tcW w:w="8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(以Pb计)、苯甲酸及其钠盐(以苯甲酸计)、山梨酸及其钾盐(以山梨酸计)、脱氢乙酸及其钠盐(以脱氢乙酸计)、纳他霉素、防腐剂混合使用时各自用量占其最大使用量的比例之和、糖精钠(以糖精计)、安赛蜜、甜蜜素(以环己基氨基磺酸计)、大肠菌群、霉菌、酵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蛋白饮料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蛋白饮料</w:t>
            </w:r>
          </w:p>
        </w:tc>
        <w:tc>
          <w:tcPr>
            <w:tcW w:w="8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蛋白质、三聚氰胺、糖精钠(以糖精计)、甜蜜素(以环己基氨基磺酸计)、大肠菌群、霉菌、酵母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调味面制品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调味面制品</w:t>
            </w:r>
          </w:p>
        </w:tc>
        <w:tc>
          <w:tcPr>
            <w:tcW w:w="8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、苯甲酸及其钠盐（以苯甲酸计）、山梨酸及其钾盐（以山梨酸计）、脱氢乙酸及其钠盐（以脱氢乙酸计）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饼干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饼干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饼干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饼干</w:t>
            </w:r>
          </w:p>
        </w:tc>
        <w:tc>
          <w:tcPr>
            <w:tcW w:w="8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(以Pb计)、苯甲酸及其钠盐(以苯甲酸计)、山梨酸及其钾盐(以山梨酸计)、脱氢乙酸及其钠盐(以脱氢乙酸计)、糖精钠(以糖精计)、铝的残留量(干样品,以Al计)、菌落总数、大肠菌群、防腐剂混合使用时各自用量占其最大使用量的比例之和、霉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膨化食品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含油型膨化食品和非含油型膨化食品</w:t>
            </w:r>
          </w:p>
        </w:tc>
        <w:tc>
          <w:tcPr>
            <w:tcW w:w="8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水分、糖精钠（以糖精计）、苯甲酸及其钠盐（以苯甲酸计）、山梨酸及其钾盐（以山梨酸计）、菌落总数、大肠菌群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糖果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糖果</w:t>
            </w:r>
          </w:p>
        </w:tc>
        <w:tc>
          <w:tcPr>
            <w:tcW w:w="8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铅（以Pb计）、糖精钠（以糖精计）、菌落总数、大肠菌群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茶叶及相关制品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绿茶、红茶、乌龙茶、黄茶、白茶、黑茶、花茶、袋泡茶、紧压茶</w:t>
            </w:r>
          </w:p>
        </w:tc>
        <w:tc>
          <w:tcPr>
            <w:tcW w:w="8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铅（以Pb计）、氯氰菊酯和高效氯氰菊酯、氰戊菊酯和S-氰戊菊酯、、氯唑磷、灭线磷、水胺硫磷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蒸馏酒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白酒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白酒、白酒(液态）、白酒（原酒）</w:t>
            </w:r>
          </w:p>
        </w:tc>
        <w:tc>
          <w:tcPr>
            <w:tcW w:w="8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酒精度、铅（以Pb计）、甲醇、氰化物（以HCN计）、糖精钠（以糖精计）、甜蜜素（以环己基氨基磺酸计）、三氯蔗糖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蜜饯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蜜饯类、凉果类、果脯类、话化类、果糕类</w:t>
            </w:r>
          </w:p>
        </w:tc>
        <w:tc>
          <w:tcPr>
            <w:tcW w:w="8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菌落总数、大肠菌群、霉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炒货食品及坚果制品（烘炒类、油炸类、其他类）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开心果、杏仁、扁桃仁、松仁、瓜子</w:t>
            </w:r>
          </w:p>
        </w:tc>
        <w:tc>
          <w:tcPr>
            <w:tcW w:w="8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酸价（以脂肪计）、过氧化值（以脂肪计）、糖精钠（以糖精计）、甜蜜素（以环己基氨基磺酸计）、大肠菌群、霉菌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其他炒货食品及坚果制品</w:t>
            </w:r>
          </w:p>
        </w:tc>
        <w:tc>
          <w:tcPr>
            <w:tcW w:w="8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酸价（以脂肪计）、过氧化值（以脂肪计）、糖精钠（以糖精计）、甜蜜素（以环己基氨基磺酸计）、大肠菌群、霉菌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8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富马酸二甲酯、苯甲酸及其钠盐（以苯甲酸计）、山梨酸及其钾盐（以山梨酸计）、脱氢乙酸及其钠盐(以脱氢乙酸计)、糖精钠（以糖精计）、铝的残留量（干样品，以A1计）、防腐剂各自用量占其最大使用量的比例之和、菌落总数、大肠菌群、霉菌、纳他霉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米面及其制品(自制）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小麦粉制品(自制)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发酵面制品(自制)</w:t>
            </w:r>
          </w:p>
        </w:tc>
        <w:tc>
          <w:tcPr>
            <w:tcW w:w="8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苯甲酸及其钠盐（以苯甲酸计)、山梨酸及其钾盐(以山梨酸计)、脱氢乙酸及其钠盐（以脱氢乙酸计）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小麦粉制品(自制)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油炸面制品(自制）</w:t>
            </w:r>
          </w:p>
        </w:tc>
        <w:tc>
          <w:tcPr>
            <w:tcW w:w="8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铝的残留量(干样品，以A1计）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复合调味料（自制）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半固态调味料（自制）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火锅调味料（底料、蘸料）（自制）</w:t>
            </w:r>
          </w:p>
        </w:tc>
        <w:tc>
          <w:tcPr>
            <w:tcW w:w="8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罂粟碱、吗啡、可待因、那可丁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其他餐饮食品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坚果及籽类食品(餐饮）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花生及花生制品（餐饮）</w:t>
            </w:r>
          </w:p>
        </w:tc>
        <w:tc>
          <w:tcPr>
            <w:tcW w:w="8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黄曲霉毒素B1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焙烤食品（餐饮）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糕点（（餐饮单位自制））</w:t>
            </w:r>
          </w:p>
        </w:tc>
        <w:tc>
          <w:tcPr>
            <w:tcW w:w="8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的残留量（干样品，以Al计）、苯甲酸及其钠盐（以苯甲酸计）、山梨酸及其钾盐（以山梨酸计）、糖精钠（以糖精计）、脱氢乙酸及其钠盐（以脱氢乙酸计）、防腐剂混合使用时各自用量占其最大使用量比例之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汤汁类（餐饮)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汤汁类（餐饮)</w:t>
            </w:r>
          </w:p>
        </w:tc>
        <w:tc>
          <w:tcPr>
            <w:tcW w:w="8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吗啡、可待因、罂粟碱、那可丁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8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恩诺沙星、氯霉素、沙丁胺醇、克伦特罗、莱克多巴胺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牛肉</w:t>
            </w:r>
          </w:p>
        </w:tc>
        <w:tc>
          <w:tcPr>
            <w:tcW w:w="8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克伦特罗、地塞米松、莱克多巴胺、沙丁胺醇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羊肉</w:t>
            </w:r>
          </w:p>
        </w:tc>
        <w:tc>
          <w:tcPr>
            <w:tcW w:w="8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克伦特罗、恩诺沙星、莱克多巴胺、沙丁胺醇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畜副产品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猪肝</w:t>
            </w:r>
          </w:p>
        </w:tc>
        <w:tc>
          <w:tcPr>
            <w:tcW w:w="8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克伦特罗、五氯酚酸钠（以五氯酚计）、莱克多巴胺、沙丁胺醇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禽肉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鸡肉（重点品种：乌鸡）</w:t>
            </w:r>
          </w:p>
        </w:tc>
        <w:tc>
          <w:tcPr>
            <w:tcW w:w="8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恩诺沙星、五氯酚酸钠（以五氯酚计）、氯霉素、氟苯尼考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鳞茎类蔬菜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8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腐霉利、氯氟氰菊酯和高效氯氟氰菊酯、毒死蜱、氧乐果、克百威、甲胺磷、水胺硫磷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菜薹</w:t>
            </w:r>
          </w:p>
        </w:tc>
        <w:tc>
          <w:tcPr>
            <w:tcW w:w="8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氧乐果、 氟虫腈、氯氰菊酯和高效氯氰菊酯、 甲基异柳磷、克百威、甲胺磷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叶菜类蔬菜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8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毒死蜱、甲拌磷、氯氟氰菊酯和高效氯氟氰菊酯、氧乐果、克百威、甲胺磷、水胺硫磷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菠菜</w:t>
            </w:r>
          </w:p>
        </w:tc>
        <w:tc>
          <w:tcPr>
            <w:tcW w:w="8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毒死蜱、氟虫腈、氧乐果、水胺硫磷、敌敌畏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普通白菜</w:t>
            </w:r>
          </w:p>
        </w:tc>
        <w:tc>
          <w:tcPr>
            <w:tcW w:w="8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毒死蜱、啶虫脒、氟虫腈、氧乐果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8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氟虫腈、氧乐果、甲胺磷、水胺硫磷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根茎类和薯芋类蔬菜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8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铅（以Pb计）、吡虫啉、噻虫嗪、噻虫胺、氯唑磷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淡水产品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淡水鱼（重点品种：泥鳅、黄鳝、鳊鱼、黄颡鱼、鲈鱼、鲶鱼、鲟鱼、鲫鱼、黑鱼、鳜鱼等）</w:t>
            </w:r>
          </w:p>
        </w:tc>
        <w:tc>
          <w:tcPr>
            <w:tcW w:w="8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恩诺沙星、呋喃唑酮代谢物、呋喃西林代谢物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海水产品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海水鱼（重点品种：多宝鱼、黄鱼、海鲈鱼等）</w:t>
            </w:r>
          </w:p>
        </w:tc>
        <w:tc>
          <w:tcPr>
            <w:tcW w:w="8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恩诺沙星、呋喃唑酮代谢物、呋喃西林代谢物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热带和亚热带水果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8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吡虫啉、腈苯唑、噻虫嗪、多菌灵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柑橘类水果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柑、橘、</w:t>
            </w:r>
          </w:p>
        </w:tc>
        <w:tc>
          <w:tcPr>
            <w:tcW w:w="8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丙溴磷、三唑磷、氧乐果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</w:t>
            </w:r>
          </w:p>
        </w:tc>
        <w:tc>
          <w:tcPr>
            <w:tcW w:w="8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丙溴磷、三唑磷、氧乐果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浆果和其他小型水果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草莓</w:t>
            </w:r>
          </w:p>
        </w:tc>
        <w:tc>
          <w:tcPr>
            <w:tcW w:w="8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烯酰吗啉、氧乐果、敌敌畏</w:t>
            </w:r>
          </w:p>
        </w:tc>
      </w:tr>
    </w:tbl>
    <w:p/>
    <w:p>
      <w:pPr>
        <w:rPr>
          <w:rFonts w:hint="eastAsia" w:ascii="仿宋_GB2312" w:eastAsia="仿宋_GB2312"/>
          <w:sz w:val="32"/>
          <w:szCs w:val="30"/>
          <w:lang w:eastAsia="zh-CN"/>
        </w:rPr>
      </w:pPr>
    </w:p>
    <w:p>
      <w:pPr>
        <w:rPr>
          <w:rFonts w:hint="eastAsia" w:ascii="仿宋_GB2312" w:eastAsia="仿宋_GB2312"/>
          <w:sz w:val="32"/>
          <w:szCs w:val="30"/>
        </w:rPr>
      </w:pPr>
    </w:p>
    <w:p/>
    <w:sectPr>
      <w:footerReference r:id="rId3" w:type="default"/>
      <w:footerReference r:id="rId4" w:type="even"/>
      <w:pgSz w:w="16838" w:h="11906" w:orient="landscape"/>
      <w:pgMar w:top="1587" w:right="2098" w:bottom="1417" w:left="1531" w:header="851" w:footer="1372" w:gutter="0"/>
      <w:paperSrc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中等线简体">
    <w:altName w:val="宋体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page" w:x="8789" w:y="-63"/>
      <w:spacing w:line="300" w:lineRule="exact"/>
      <w:ind w:right="246" w:rightChars="117" w:firstLine="295" w:firstLineChars="82"/>
      <w:jc w:val="center"/>
      <w:rPr>
        <w:rStyle w:val="14"/>
        <w:rFonts w:hint="eastAsia"/>
        <w:spacing w:val="40"/>
      </w:rPr>
    </w:pPr>
    <w:r>
      <w:rPr>
        <w:rStyle w:val="14"/>
        <w:rFonts w:hint="eastAsia" w:eastAsia="方正中等线简体"/>
        <w:spacing w:val="40"/>
        <w:sz w:val="28"/>
      </w:rPr>
      <w:t>一</w:t>
    </w:r>
    <w:r>
      <w:rPr>
        <w:spacing w:val="40"/>
        <w:sz w:val="28"/>
      </w:rPr>
      <w:fldChar w:fldCharType="begin"/>
    </w:r>
    <w:r>
      <w:rPr>
        <w:rStyle w:val="14"/>
        <w:spacing w:val="40"/>
        <w:sz w:val="28"/>
      </w:rPr>
      <w:instrText xml:space="preserve">PAGE  </w:instrText>
    </w:r>
    <w:r>
      <w:rPr>
        <w:spacing w:val="40"/>
        <w:sz w:val="28"/>
      </w:rPr>
      <w:fldChar w:fldCharType="separate"/>
    </w:r>
    <w:r>
      <w:rPr>
        <w:rStyle w:val="14"/>
        <w:spacing w:val="40"/>
        <w:sz w:val="28"/>
        <w:lang/>
      </w:rPr>
      <w:t>1</w:t>
    </w:r>
    <w:r>
      <w:rPr>
        <w:spacing w:val="40"/>
        <w:sz w:val="28"/>
      </w:rPr>
      <w:fldChar w:fldCharType="end"/>
    </w:r>
    <w:r>
      <w:rPr>
        <w:rStyle w:val="14"/>
        <w:rFonts w:hint="eastAsia" w:eastAsia="方正中等线简体"/>
        <w:spacing w:val="40"/>
        <w:sz w:val="28"/>
      </w:rPr>
      <w:t>一</w:t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300" w:lineRule="exact"/>
      <w:ind w:right="246" w:rightChars="117" w:firstLine="295" w:firstLineChars="82"/>
      <w:jc w:val="both"/>
      <w:rPr>
        <w:rStyle w:val="14"/>
        <w:rFonts w:hint="eastAsia"/>
        <w:spacing w:val="40"/>
      </w:rPr>
    </w:pPr>
    <w:r>
      <w:rPr>
        <w:rStyle w:val="14"/>
        <w:rFonts w:hint="eastAsia" w:eastAsia="方正中等线简体"/>
        <w:spacing w:val="40"/>
        <w:sz w:val="28"/>
      </w:rPr>
      <w:t>一</w:t>
    </w:r>
    <w:r>
      <w:rPr>
        <w:spacing w:val="40"/>
        <w:sz w:val="28"/>
      </w:rPr>
      <w:fldChar w:fldCharType="begin"/>
    </w:r>
    <w:r>
      <w:rPr>
        <w:rStyle w:val="14"/>
        <w:spacing w:val="40"/>
        <w:sz w:val="28"/>
      </w:rPr>
      <w:instrText xml:space="preserve">PAGE  </w:instrText>
    </w:r>
    <w:r>
      <w:rPr>
        <w:spacing w:val="40"/>
        <w:sz w:val="28"/>
      </w:rPr>
      <w:fldChar w:fldCharType="separate"/>
    </w:r>
    <w:r>
      <w:rPr>
        <w:rStyle w:val="14"/>
        <w:spacing w:val="40"/>
        <w:sz w:val="28"/>
        <w:lang/>
      </w:rPr>
      <w:t>2</w:t>
    </w:r>
    <w:r>
      <w:rPr>
        <w:spacing w:val="40"/>
        <w:sz w:val="28"/>
      </w:rPr>
      <w:fldChar w:fldCharType="end"/>
    </w:r>
    <w:r>
      <w:rPr>
        <w:rStyle w:val="14"/>
        <w:rFonts w:hint="eastAsia" w:eastAsia="方正中等线简体"/>
        <w:spacing w:val="40"/>
        <w:sz w:val="28"/>
      </w:rPr>
      <w:t>一</w:t>
    </w:r>
  </w:p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F5605C"/>
    <w:multiLevelType w:val="multilevel"/>
    <w:tmpl w:val="16F5605C"/>
    <w:lvl w:ilvl="0" w:tentative="0">
      <w:start w:val="1"/>
      <w:numFmt w:val="ideographDigital"/>
      <w:pStyle w:val="5"/>
      <w:lvlText w:val="（%1）"/>
      <w:lvlJc w:val="left"/>
      <w:pPr>
        <w:tabs>
          <w:tab w:val="left" w:pos="930"/>
        </w:tabs>
        <w:ind w:left="93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79DB1B2A"/>
    <w:multiLevelType w:val="multilevel"/>
    <w:tmpl w:val="79DB1B2A"/>
    <w:lvl w:ilvl="0" w:tentative="0">
      <w:start w:val="1"/>
      <w:numFmt w:val="decimal"/>
      <w:pStyle w:val="6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7D434B06"/>
    <w:multiLevelType w:val="multilevel"/>
    <w:tmpl w:val="7D434B06"/>
    <w:lvl w:ilvl="0" w:tentative="0">
      <w:start w:val="1"/>
      <w:numFmt w:val="ideographDigital"/>
      <w:pStyle w:val="4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88"/>
    <w:rsid w:val="00124A78"/>
    <w:rsid w:val="00180BE2"/>
    <w:rsid w:val="00286686"/>
    <w:rsid w:val="002F418A"/>
    <w:rsid w:val="003B259C"/>
    <w:rsid w:val="00421E2D"/>
    <w:rsid w:val="00491D8F"/>
    <w:rsid w:val="00563579"/>
    <w:rsid w:val="005B7B88"/>
    <w:rsid w:val="00602A8C"/>
    <w:rsid w:val="00657BD1"/>
    <w:rsid w:val="00714C6C"/>
    <w:rsid w:val="00765BAE"/>
    <w:rsid w:val="00781DB8"/>
    <w:rsid w:val="007B6B19"/>
    <w:rsid w:val="00865AC3"/>
    <w:rsid w:val="00906087"/>
    <w:rsid w:val="0091089F"/>
    <w:rsid w:val="009A60CA"/>
    <w:rsid w:val="00A22538"/>
    <w:rsid w:val="00B00458"/>
    <w:rsid w:val="00BA37B8"/>
    <w:rsid w:val="00BC4F05"/>
    <w:rsid w:val="00DA30AC"/>
    <w:rsid w:val="00DC0BD1"/>
    <w:rsid w:val="00E92B89"/>
    <w:rsid w:val="00F376D5"/>
    <w:rsid w:val="00F612FA"/>
    <w:rsid w:val="00F74600"/>
    <w:rsid w:val="02DF2D53"/>
    <w:rsid w:val="06680D11"/>
    <w:rsid w:val="07A76428"/>
    <w:rsid w:val="09B2641F"/>
    <w:rsid w:val="0B1D24CC"/>
    <w:rsid w:val="0E141773"/>
    <w:rsid w:val="0EED64D2"/>
    <w:rsid w:val="18327318"/>
    <w:rsid w:val="19E2567E"/>
    <w:rsid w:val="1B02777D"/>
    <w:rsid w:val="1B701DC5"/>
    <w:rsid w:val="1DA41B2E"/>
    <w:rsid w:val="236A51E5"/>
    <w:rsid w:val="243B49D1"/>
    <w:rsid w:val="25316A73"/>
    <w:rsid w:val="2801764D"/>
    <w:rsid w:val="28BC12EE"/>
    <w:rsid w:val="290165BA"/>
    <w:rsid w:val="2BA253B1"/>
    <w:rsid w:val="2D845FE0"/>
    <w:rsid w:val="31A4642C"/>
    <w:rsid w:val="325959A8"/>
    <w:rsid w:val="35237940"/>
    <w:rsid w:val="379B6D5B"/>
    <w:rsid w:val="38E964D6"/>
    <w:rsid w:val="393D2DD0"/>
    <w:rsid w:val="3BA30560"/>
    <w:rsid w:val="3EBB1C3E"/>
    <w:rsid w:val="4121416C"/>
    <w:rsid w:val="412C468E"/>
    <w:rsid w:val="44117AA3"/>
    <w:rsid w:val="445353A7"/>
    <w:rsid w:val="45057144"/>
    <w:rsid w:val="458B4835"/>
    <w:rsid w:val="493247D1"/>
    <w:rsid w:val="4DC57965"/>
    <w:rsid w:val="4FA019CB"/>
    <w:rsid w:val="4FA0558F"/>
    <w:rsid w:val="50F71646"/>
    <w:rsid w:val="51DB4A57"/>
    <w:rsid w:val="56841112"/>
    <w:rsid w:val="5BBF0DCE"/>
    <w:rsid w:val="5F167D55"/>
    <w:rsid w:val="5FC732A8"/>
    <w:rsid w:val="601A0F1B"/>
    <w:rsid w:val="61606A85"/>
    <w:rsid w:val="67274F5D"/>
    <w:rsid w:val="6D434D5C"/>
    <w:rsid w:val="6EF701A7"/>
    <w:rsid w:val="6F416BD3"/>
    <w:rsid w:val="720552C5"/>
    <w:rsid w:val="726D2849"/>
    <w:rsid w:val="74955C4B"/>
    <w:rsid w:val="76377102"/>
    <w:rsid w:val="76FC33B3"/>
    <w:rsid w:val="7A6A3608"/>
    <w:rsid w:val="7E3A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next w:val="1"/>
    <w:uiPriority w:val="0"/>
    <w:pPr>
      <w:keepNext/>
      <w:keepLines/>
      <w:numPr>
        <w:ilvl w:val="0"/>
        <w:numId w:val="1"/>
      </w:numPr>
      <w:outlineLvl w:val="0"/>
    </w:pPr>
    <w:rPr>
      <w:rFonts w:ascii="Times New Roman" w:hAnsi="Times New Roman" w:eastAsia="黑体" w:cs="Times New Roman"/>
      <w:bCs/>
      <w:kern w:val="44"/>
      <w:sz w:val="30"/>
      <w:szCs w:val="44"/>
      <w:lang w:val="en-US" w:eastAsia="zh-CN" w:bidi="ar-SA"/>
    </w:rPr>
  </w:style>
  <w:style w:type="paragraph" w:styleId="5">
    <w:name w:val="heading 2"/>
    <w:next w:val="1"/>
    <w:uiPriority w:val="0"/>
    <w:pPr>
      <w:keepNext/>
      <w:keepLines/>
      <w:numPr>
        <w:ilvl w:val="0"/>
        <w:numId w:val="2"/>
      </w:numPr>
      <w:ind w:left="0" w:firstLine="0"/>
      <w:outlineLvl w:val="1"/>
    </w:pPr>
    <w:rPr>
      <w:rFonts w:ascii="Arial" w:hAnsi="Arial" w:eastAsia="楷体_GB2312" w:cs="Times New Roman"/>
      <w:b/>
      <w:bCs/>
      <w:kern w:val="2"/>
      <w:sz w:val="32"/>
      <w:szCs w:val="32"/>
      <w:lang w:val="en-US" w:eastAsia="zh-CN" w:bidi="ar-SA"/>
    </w:rPr>
  </w:style>
  <w:style w:type="paragraph" w:styleId="6">
    <w:name w:val="heading 3"/>
    <w:basedOn w:val="1"/>
    <w:next w:val="1"/>
    <w:uiPriority w:val="0"/>
    <w:pPr>
      <w:keepNext/>
      <w:keepLines/>
      <w:numPr>
        <w:ilvl w:val="0"/>
        <w:numId w:val="3"/>
      </w:numPr>
      <w:outlineLvl w:val="2"/>
    </w:pPr>
    <w:rPr>
      <w:rFonts w:ascii="Times New Roman" w:hAnsi="Times New Roman" w:eastAsia="仿宋_GB2312" w:cs="Times New Roman"/>
      <w:b/>
      <w:bCs/>
      <w:sz w:val="30"/>
      <w:szCs w:val="32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uiPriority w:val="99"/>
    <w:pPr>
      <w:keepNext w:val="0"/>
      <w:keepLines w:val="0"/>
      <w:widowControl w:val="0"/>
      <w:suppressLineNumbers w:val="0"/>
      <w:spacing w:after="120" w:afterLines="0" w:afterAutospacing="0"/>
      <w:ind w:left="0" w:leftChars="0" w:firstLine="420" w:firstLineChars="200"/>
      <w:jc w:val="both"/>
    </w:pPr>
    <w:rPr>
      <w:rFonts w:hint="default" w:ascii="Times New Roman" w:hAnsi="Times New Roman" w:eastAsia="仿宋" w:cs="Times New Roman"/>
      <w:kern w:val="2"/>
      <w:sz w:val="28"/>
      <w:szCs w:val="28"/>
      <w:lang w:val="en-US" w:eastAsia="zh-CN" w:bidi="ar"/>
    </w:rPr>
  </w:style>
  <w:style w:type="paragraph" w:styleId="3">
    <w:name w:val="Body Text Indent"/>
    <w:basedOn w:val="1"/>
    <w:unhideWhenUsed/>
    <w:uiPriority w:val="99"/>
    <w:pPr>
      <w:keepNext w:val="0"/>
      <w:keepLines w:val="0"/>
      <w:widowControl w:val="0"/>
      <w:suppressLineNumbers w:val="0"/>
      <w:spacing w:after="120" w:afterLines="0" w:afterAutospacing="0"/>
      <w:ind w:left="420" w:leftChars="200"/>
      <w:jc w:val="both"/>
    </w:pPr>
    <w:rPr>
      <w:rFonts w:hint="default" w:ascii="Times New Roman" w:hAnsi="Times New Roman" w:eastAsia="仿宋_GB2312" w:cs="Times New Roman"/>
      <w:kern w:val="2"/>
      <w:sz w:val="32"/>
      <w:szCs w:val="32"/>
      <w:lang w:val="en-US" w:eastAsia="zh-CN" w:bidi="ar"/>
    </w:rPr>
  </w:style>
  <w:style w:type="paragraph" w:styleId="7">
    <w:name w:val="Balloon Text"/>
    <w:basedOn w:val="1"/>
    <w:unhideWhenUsed/>
    <w:uiPriority w:val="99"/>
    <w:rPr>
      <w:sz w:val="18"/>
      <w:szCs w:val="18"/>
    </w:rPr>
  </w:style>
  <w:style w:type="paragraph" w:styleId="8">
    <w:name w:val="footer"/>
    <w:basedOn w:val="1"/>
    <w:link w:val="15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仿宋_GB2312" w:cs="Times New Roman"/>
      <w:kern w:val="0"/>
      <w:sz w:val="24"/>
      <w:lang w:val="en-US" w:eastAsia="zh-CN" w:bidi="ar-SA"/>
    </w:rPr>
  </w:style>
  <w:style w:type="character" w:styleId="13">
    <w:name w:val="Strong"/>
    <w:qFormat/>
    <w:uiPriority w:val="22"/>
    <w:rPr>
      <w:rFonts w:ascii="Times New Roman" w:hAnsi="Times New Roman" w:eastAsia="宋体" w:cs="Times New Roman"/>
      <w:b/>
    </w:rPr>
  </w:style>
  <w:style w:type="character" w:styleId="14">
    <w:name w:val="page number"/>
    <w:basedOn w:val="12"/>
    <w:unhideWhenUsed/>
    <w:uiPriority w:val="99"/>
    <w:rPr>
      <w:rFonts w:ascii="Times New Roman" w:hAnsi="Times New Roman" w:eastAsia="宋体" w:cs="Times New Roman"/>
    </w:rPr>
  </w:style>
  <w:style w:type="character" w:customStyle="1" w:styleId="15">
    <w:name w:val="页脚 字符"/>
    <w:link w:val="8"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主题词"/>
    <w:basedOn w:val="1"/>
    <w:uiPriority w:val="0"/>
    <w:pPr>
      <w:spacing w:after="156" w:afterLines="50" w:line="600" w:lineRule="exact"/>
    </w:pPr>
    <w:rPr>
      <w:rFonts w:eastAsia="方正小标宋简体"/>
      <w:sz w:val="30"/>
      <w:szCs w:val="20"/>
    </w:rPr>
  </w:style>
  <w:style w:type="character" w:customStyle="1" w:styleId="17">
    <w:name w:val="font31"/>
    <w:basedOn w:val="12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21"/>
    <w:basedOn w:val="12"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2022-01-25T08:58:00Z</dcterms:created>
  <dc:creator>黄先保</dc:creator>
  <cp:lastModifiedBy>黄先保</cp:lastModifiedBy>
  <dcterms:modified xsi:type="dcterms:W3CDTF">2022-01-25T08:59:24Z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