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小标宋简" w:hAnsi="文鼎小标宋简" w:eastAsia="文鼎小标宋简" w:cs="文鼎小标宋简"/>
          <w:sz w:val="36"/>
        </w:rPr>
      </w:pPr>
      <w:r>
        <w:rPr>
          <w:rFonts w:hint="eastAsia" w:ascii="文鼎小标宋简" w:hAnsi="文鼎小标宋简" w:eastAsia="文鼎小标宋简" w:cs="文鼎小标宋简"/>
          <w:sz w:val="36"/>
        </w:rPr>
        <w:t>2018年“红牌企业”判定依据</w:t>
      </w:r>
    </w:p>
    <w:p>
      <w:pPr>
        <w:jc w:val="center"/>
        <w:rPr>
          <w:rFonts w:ascii="仿宋" w:hAnsi="仿宋" w:eastAsia="仿宋" w:cs="仿宋"/>
          <w:sz w:val="28"/>
          <w:szCs w:val="28"/>
        </w:rPr>
      </w:pPr>
      <w:r>
        <w:rPr>
          <w:rFonts w:hint="eastAsia" w:ascii="仿宋" w:hAnsi="仿宋" w:eastAsia="仿宋" w:cs="仿宋"/>
          <w:sz w:val="28"/>
          <w:szCs w:val="28"/>
        </w:rPr>
        <w:t>（20家）</w:t>
      </w:r>
    </w:p>
    <w:p>
      <w:pPr>
        <w:rPr>
          <w:rFonts w:ascii="仿宋" w:hAnsi="仿宋" w:eastAsia="仿宋"/>
          <w:szCs w:val="21"/>
        </w:rPr>
      </w:pPr>
    </w:p>
    <w:p>
      <w:pPr>
        <w:rPr>
          <w:rFonts w:ascii="黑体" w:hAnsi="黑体" w:eastAsia="黑体" w:cs="黑体"/>
          <w:sz w:val="32"/>
          <w:szCs w:val="32"/>
        </w:rPr>
      </w:pPr>
      <w:r>
        <w:rPr>
          <w:rFonts w:hint="eastAsia" w:ascii="黑体" w:hAnsi="黑体" w:eastAsia="黑体" w:cs="黑体"/>
          <w:sz w:val="32"/>
          <w:szCs w:val="32"/>
        </w:rPr>
        <w:t>附表1：“一票否决”情形</w:t>
      </w:r>
    </w:p>
    <w:tbl>
      <w:tblPr>
        <w:tblStyle w:val="5"/>
        <w:tblW w:w="10087" w:type="dxa"/>
        <w:jc w:val="center"/>
        <w:tblLayout w:type="fixed"/>
        <w:tblCellMar>
          <w:top w:w="17" w:type="dxa"/>
          <w:left w:w="17" w:type="dxa"/>
          <w:bottom w:w="17" w:type="dxa"/>
          <w:right w:w="17" w:type="dxa"/>
        </w:tblCellMar>
      </w:tblPr>
      <w:tblGrid>
        <w:gridCol w:w="725"/>
        <w:gridCol w:w="855"/>
        <w:gridCol w:w="870"/>
        <w:gridCol w:w="2970"/>
        <w:gridCol w:w="4667"/>
      </w:tblGrid>
      <w:tr>
        <w:tblPrEx>
          <w:tblCellMar>
            <w:top w:w="17" w:type="dxa"/>
            <w:left w:w="17" w:type="dxa"/>
            <w:bottom w:w="17" w:type="dxa"/>
            <w:right w:w="17" w:type="dxa"/>
          </w:tblCellMar>
        </w:tblPrEx>
        <w:trPr>
          <w:trHeight w:val="897" w:hRule="atLeast"/>
          <w:tblHeade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eastAsia="楷体_GB2312"/>
                <w:b/>
                <w:color w:val="000000"/>
                <w:kern w:val="0"/>
                <w:szCs w:val="21"/>
              </w:rPr>
              <w:t>序号</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eastAsia="楷体_GB2312"/>
                <w:b/>
                <w:color w:val="000000"/>
                <w:kern w:val="0"/>
                <w:szCs w:val="21"/>
              </w:rPr>
              <w:t>地市</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eastAsia="楷体_GB2312"/>
                <w:b/>
                <w:color w:val="000000"/>
                <w:kern w:val="0"/>
                <w:szCs w:val="21"/>
              </w:rPr>
              <w:t>区县</w:t>
            </w:r>
          </w:p>
        </w:tc>
        <w:tc>
          <w:tcPr>
            <w:tcW w:w="2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eastAsia="楷体_GB2312"/>
                <w:b/>
                <w:color w:val="000000"/>
                <w:kern w:val="0"/>
                <w:szCs w:val="21"/>
              </w:rPr>
              <w:t>企业名称</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b/>
                <w:bCs/>
                <w:color w:val="000000"/>
                <w:kern w:val="0"/>
                <w:szCs w:val="21"/>
              </w:rPr>
            </w:pPr>
            <w:r>
              <w:rPr>
                <w:rFonts w:hint="eastAsia" w:eastAsia="楷体_GB2312"/>
                <w:b/>
                <w:bCs/>
                <w:color w:val="000000"/>
                <w:kern w:val="0"/>
                <w:szCs w:val="21"/>
              </w:rPr>
              <w:t>评定依据</w:t>
            </w:r>
          </w:p>
        </w:tc>
      </w:tr>
      <w:tr>
        <w:tblPrEx>
          <w:tblCellMar>
            <w:top w:w="17" w:type="dxa"/>
            <w:left w:w="17" w:type="dxa"/>
            <w:bottom w:w="17" w:type="dxa"/>
            <w:right w:w="17" w:type="dxa"/>
          </w:tblCellMar>
        </w:tblPrEx>
        <w:trPr>
          <w:cantSplit/>
          <w:trHeight w:val="5079"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hint="eastAsia" w:ascii="宋体" w:hAnsi="宋体" w:cs="宋体"/>
                <w:color w:val="000000"/>
                <w:kern w:val="0"/>
                <w:sz w:val="22"/>
                <w:szCs w:val="22"/>
              </w:rPr>
              <w:t>18</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清远市</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英德市</w:t>
            </w:r>
          </w:p>
        </w:tc>
        <w:tc>
          <w:tcPr>
            <w:tcW w:w="2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英德市明智五金制品</w:t>
            </w:r>
            <w:bookmarkStart w:id="0" w:name="_GoBack"/>
            <w:bookmarkEnd w:id="0"/>
            <w:r>
              <w:rPr>
                <w:rFonts w:hint="eastAsia" w:eastAsia="楷体_GB2312"/>
                <w:color w:val="000000"/>
                <w:kern w:val="0"/>
                <w:szCs w:val="21"/>
              </w:rPr>
              <w:t>有限公司</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bottom"/>
              <w:rPr>
                <w:rFonts w:eastAsia="楷体_GB2312"/>
                <w:color w:val="000000"/>
                <w:kern w:val="0"/>
                <w:szCs w:val="21"/>
              </w:rPr>
            </w:pPr>
            <w:r>
              <w:rPr>
                <w:rFonts w:hint="eastAsia" w:eastAsia="楷体_GB2312"/>
                <w:color w:val="000000"/>
                <w:kern w:val="0"/>
                <w:szCs w:val="21"/>
              </w:rPr>
              <w:t>有【一票否决6】私设暗管英环罚字〔2018〕19号；（1）将退镀车间挂具退镀后清洗挂具滴漏在地面上的积水向车间外排水管的沙井倾倒，罚款11万元。</w:t>
            </w:r>
          </w:p>
          <w:p>
            <w:pPr>
              <w:widowControl/>
              <w:textAlignment w:val="bottom"/>
              <w:rPr>
                <w:rFonts w:eastAsia="楷体_GB2312"/>
                <w:color w:val="000000"/>
                <w:kern w:val="0"/>
                <w:szCs w:val="21"/>
              </w:rPr>
            </w:pPr>
          </w:p>
          <w:p>
            <w:pPr>
              <w:widowControl/>
              <w:spacing w:line="240" w:lineRule="exact"/>
              <w:textAlignment w:val="bottom"/>
              <w:rPr>
                <w:rFonts w:eastAsia="楷体_GB2312"/>
                <w:color w:val="000000"/>
                <w:kern w:val="0"/>
                <w:szCs w:val="21"/>
              </w:rPr>
            </w:pPr>
            <w:r>
              <w:rPr>
                <w:rFonts w:hint="eastAsia" w:eastAsia="楷体_GB2312"/>
                <w:color w:val="000000"/>
                <w:kern w:val="0"/>
                <w:szCs w:val="21"/>
              </w:rPr>
              <w:t>【指标3】扣5.00分</w:t>
            </w:r>
          </w:p>
          <w:p>
            <w:pPr>
              <w:widowControl/>
              <w:spacing w:line="240" w:lineRule="exact"/>
              <w:textAlignment w:val="bottom"/>
              <w:rPr>
                <w:rFonts w:eastAsia="楷体_GB2312"/>
                <w:color w:val="000000"/>
                <w:kern w:val="0"/>
                <w:szCs w:val="21"/>
              </w:rPr>
            </w:pPr>
            <w:r>
              <w:rPr>
                <w:rFonts w:hint="eastAsia" w:eastAsia="楷体_GB2312"/>
                <w:color w:val="000000"/>
                <w:kern w:val="0"/>
                <w:szCs w:val="21"/>
              </w:rPr>
              <w:t>【指标14】扣2.50分</w:t>
            </w:r>
          </w:p>
          <w:p>
            <w:pPr>
              <w:widowControl/>
              <w:spacing w:line="240" w:lineRule="exact"/>
              <w:textAlignment w:val="bottom"/>
              <w:rPr>
                <w:rFonts w:eastAsia="楷体_GB2312"/>
                <w:color w:val="000000"/>
                <w:kern w:val="0"/>
                <w:szCs w:val="21"/>
              </w:rPr>
            </w:pPr>
            <w:r>
              <w:rPr>
                <w:rFonts w:hint="eastAsia" w:eastAsia="楷体_GB2312"/>
                <w:color w:val="000000"/>
                <w:kern w:val="0"/>
                <w:szCs w:val="21"/>
              </w:rPr>
              <w:t>【指标15】扣5.00分</w:t>
            </w:r>
          </w:p>
          <w:p>
            <w:pPr>
              <w:widowControl/>
              <w:spacing w:line="240" w:lineRule="exact"/>
              <w:textAlignment w:val="bottom"/>
              <w:rPr>
                <w:rFonts w:eastAsia="楷体_GB2312"/>
                <w:color w:val="000000"/>
                <w:kern w:val="0"/>
                <w:szCs w:val="21"/>
              </w:rPr>
            </w:pPr>
            <w:r>
              <w:rPr>
                <w:rFonts w:hint="eastAsia" w:eastAsia="楷体_GB2312"/>
                <w:color w:val="000000"/>
                <w:kern w:val="0"/>
                <w:szCs w:val="21"/>
              </w:rPr>
              <w:t>【指标17】扣17.00分</w:t>
            </w:r>
          </w:p>
          <w:p>
            <w:pPr>
              <w:widowControl/>
              <w:spacing w:line="360" w:lineRule="auto"/>
              <w:textAlignment w:val="center"/>
              <w:rPr>
                <w:rFonts w:eastAsia="楷体_GB2312"/>
                <w:color w:val="000000"/>
                <w:kern w:val="0"/>
                <w:szCs w:val="21"/>
              </w:rPr>
            </w:pPr>
            <w:r>
              <w:rPr>
                <w:rFonts w:hint="eastAsia" w:eastAsia="楷体_GB2312"/>
                <w:color w:val="000000"/>
                <w:kern w:val="0"/>
                <w:szCs w:val="21"/>
              </w:rPr>
              <w:t>总得分为70.5分</w:t>
            </w:r>
          </w:p>
          <w:p>
            <w:pPr>
              <w:widowControl/>
              <w:spacing w:line="360" w:lineRule="auto"/>
              <w:textAlignment w:val="center"/>
              <w:rPr>
                <w:rFonts w:eastAsia="楷体_GB2312"/>
                <w:color w:val="000000"/>
                <w:kern w:val="0"/>
                <w:szCs w:val="21"/>
              </w:rPr>
            </w:pPr>
            <w:r>
              <w:rPr>
                <w:rFonts w:hint="eastAsia" w:eastAsia="楷体_GB2312"/>
                <w:color w:val="000000" w:themeColor="text1"/>
                <w:kern w:val="0"/>
                <w:szCs w:val="21"/>
                <w14:textFill>
                  <w14:solidFill>
                    <w14:schemeClr w14:val="tx1"/>
                  </w14:solidFill>
                </w14:textFill>
              </w:rPr>
              <w:t>该企业“私设暗管”属于恶意环境违法行为，不予即时修复，</w:t>
            </w:r>
            <w:r>
              <w:rPr>
                <w:rFonts w:hint="eastAsia" w:eastAsia="楷体_GB2312"/>
                <w:color w:val="000000"/>
                <w:kern w:val="0"/>
                <w:szCs w:val="21"/>
              </w:rPr>
              <w:t>评为</w:t>
            </w:r>
            <w:r>
              <w:rPr>
                <w:rFonts w:eastAsia="楷体_GB2312"/>
                <w:color w:val="000000"/>
                <w:kern w:val="0"/>
                <w:szCs w:val="21"/>
              </w:rPr>
              <w:t>：</w:t>
            </w:r>
          </w:p>
          <w:p>
            <w:pPr>
              <w:widowControl/>
              <w:textAlignment w:val="bottom"/>
              <w:rPr>
                <w:rFonts w:eastAsia="楷体_GB2312"/>
                <w:color w:val="000000"/>
                <w:kern w:val="0"/>
                <w:szCs w:val="21"/>
              </w:rPr>
            </w:pPr>
            <w:r>
              <w:rPr>
                <w:rFonts w:eastAsia="楷体_GB2312"/>
                <w:b/>
                <w:bCs/>
                <w:color w:val="000000"/>
                <w:kern w:val="0"/>
                <w:szCs w:val="21"/>
              </w:rPr>
              <w:t>红牌</w:t>
            </w:r>
          </w:p>
        </w:tc>
      </w:tr>
      <w:tr>
        <w:tblPrEx>
          <w:tblCellMar>
            <w:top w:w="17" w:type="dxa"/>
            <w:left w:w="17" w:type="dxa"/>
            <w:bottom w:w="17" w:type="dxa"/>
            <w:right w:w="17" w:type="dxa"/>
          </w:tblCellMar>
        </w:tblPrEx>
        <w:trPr>
          <w:cantSplit/>
          <w:trHeight w:val="5739"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楷体_GB2312"/>
                <w:color w:val="000000"/>
                <w:kern w:val="0"/>
                <w:szCs w:val="21"/>
              </w:rPr>
            </w:pPr>
            <w:r>
              <w:rPr>
                <w:rFonts w:hint="eastAsia" w:ascii="宋体" w:hAnsi="宋体" w:cs="宋体"/>
                <w:color w:val="000000"/>
                <w:kern w:val="0"/>
                <w:sz w:val="22"/>
                <w:szCs w:val="22"/>
              </w:rPr>
              <w:t>19</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清远市</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英德市</w:t>
            </w:r>
          </w:p>
        </w:tc>
        <w:tc>
          <w:tcPr>
            <w:tcW w:w="297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eastAsia="楷体_GB2312"/>
                <w:color w:val="000000"/>
                <w:kern w:val="0"/>
                <w:szCs w:val="21"/>
              </w:rPr>
            </w:pPr>
            <w:r>
              <w:rPr>
                <w:rFonts w:hint="eastAsia" w:eastAsia="楷体_GB2312"/>
                <w:color w:val="000000"/>
                <w:kern w:val="0"/>
                <w:szCs w:val="21"/>
              </w:rPr>
              <w:t>英德市勇鑫电子有限公司</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textAlignment w:val="center"/>
              <w:rPr>
                <w:rFonts w:eastAsia="楷体_GB2312"/>
                <w:color w:val="000000"/>
                <w:kern w:val="0"/>
                <w:szCs w:val="21"/>
              </w:rPr>
            </w:pPr>
            <w:r>
              <w:rPr>
                <w:rFonts w:eastAsia="楷体_GB2312"/>
                <w:color w:val="000000"/>
                <w:kern w:val="0"/>
                <w:szCs w:val="21"/>
              </w:rPr>
              <w:t>有【一票否决4】重大变动未报批</w:t>
            </w:r>
            <w:r>
              <w:rPr>
                <w:rFonts w:eastAsia="楷体_GB2312"/>
                <w:color w:val="000000"/>
                <w:kern w:val="0"/>
                <w:szCs w:val="21"/>
              </w:rPr>
              <w:br w:type="textWrapping"/>
            </w:r>
            <w:r>
              <w:rPr>
                <w:rFonts w:eastAsia="楷体_GB2312"/>
                <w:color w:val="000000"/>
                <w:kern w:val="0"/>
                <w:szCs w:val="21"/>
              </w:rPr>
              <w:t>英环罚〔2018〕59号；未重新报批建设项目环境影响评价文件，擅自扩建柔性线路板生产线和线路板自动生产线建设项目</w:t>
            </w:r>
            <w:r>
              <w:rPr>
                <w:rFonts w:hint="eastAsia" w:eastAsia="楷体_GB2312"/>
                <w:color w:val="000000"/>
                <w:kern w:val="0"/>
                <w:szCs w:val="21"/>
              </w:rPr>
              <w:t>。</w:t>
            </w:r>
          </w:p>
          <w:p>
            <w:pPr>
              <w:widowControl/>
              <w:spacing w:line="400" w:lineRule="atLeast"/>
              <w:textAlignment w:val="center"/>
              <w:rPr>
                <w:rFonts w:eastAsia="楷体_GB2312"/>
                <w:color w:val="000000"/>
                <w:kern w:val="0"/>
                <w:szCs w:val="21"/>
              </w:rPr>
            </w:pPr>
            <w:r>
              <w:rPr>
                <w:rFonts w:hint="eastAsia" w:eastAsia="楷体_GB2312"/>
                <w:color w:val="000000"/>
                <w:kern w:val="0"/>
                <w:szCs w:val="21"/>
              </w:rPr>
              <w:t>【指标1】扣17.00分;</w:t>
            </w:r>
          </w:p>
          <w:p>
            <w:pPr>
              <w:widowControl/>
              <w:spacing w:line="400" w:lineRule="atLeast"/>
              <w:textAlignment w:val="center"/>
              <w:rPr>
                <w:rFonts w:eastAsia="楷体_GB2312"/>
                <w:color w:val="000000"/>
                <w:kern w:val="0"/>
                <w:szCs w:val="21"/>
              </w:rPr>
            </w:pPr>
            <w:r>
              <w:rPr>
                <w:rFonts w:hint="eastAsia" w:eastAsia="楷体_GB2312"/>
                <w:color w:val="000000"/>
                <w:kern w:val="0"/>
                <w:szCs w:val="21"/>
              </w:rPr>
              <w:t>【指标14】扣2.50分;</w:t>
            </w:r>
          </w:p>
          <w:p>
            <w:pPr>
              <w:widowControl/>
              <w:spacing w:line="400" w:lineRule="atLeast"/>
              <w:textAlignment w:val="center"/>
              <w:rPr>
                <w:rFonts w:eastAsia="楷体_GB2312"/>
                <w:color w:val="000000"/>
                <w:kern w:val="0"/>
                <w:szCs w:val="21"/>
              </w:rPr>
            </w:pPr>
            <w:r>
              <w:rPr>
                <w:rFonts w:hint="eastAsia" w:eastAsia="楷体_GB2312"/>
                <w:color w:val="000000"/>
                <w:kern w:val="0"/>
                <w:szCs w:val="21"/>
              </w:rPr>
              <w:t>【指标17】扣8.50分;</w:t>
            </w:r>
          </w:p>
          <w:p>
            <w:pPr>
              <w:widowControl/>
              <w:spacing w:line="400" w:lineRule="atLeast"/>
              <w:textAlignment w:val="center"/>
              <w:rPr>
                <w:rFonts w:eastAsia="楷体_GB2312"/>
                <w:color w:val="000000"/>
                <w:kern w:val="0"/>
                <w:szCs w:val="21"/>
              </w:rPr>
            </w:pPr>
            <w:r>
              <w:rPr>
                <w:rFonts w:hint="eastAsia" w:eastAsia="楷体_GB2312"/>
                <w:color w:val="000000"/>
                <w:kern w:val="0"/>
                <w:szCs w:val="21"/>
              </w:rPr>
              <w:t>【指标20】扣4.00分;</w:t>
            </w:r>
          </w:p>
          <w:p>
            <w:pPr>
              <w:widowControl/>
              <w:spacing w:line="360" w:lineRule="auto"/>
              <w:textAlignment w:val="center"/>
              <w:rPr>
                <w:rFonts w:eastAsia="楷体_GB2312"/>
                <w:color w:val="000000"/>
                <w:kern w:val="0"/>
                <w:szCs w:val="21"/>
              </w:rPr>
            </w:pPr>
            <w:r>
              <w:rPr>
                <w:rFonts w:hint="eastAsia" w:eastAsia="楷体_GB2312"/>
                <w:color w:val="000000"/>
                <w:kern w:val="0"/>
                <w:szCs w:val="21"/>
              </w:rPr>
              <w:t>总得分为</w:t>
            </w:r>
            <w:r>
              <w:rPr>
                <w:rFonts w:eastAsia="楷体_GB2312"/>
                <w:color w:val="000000"/>
                <w:kern w:val="0"/>
                <w:szCs w:val="21"/>
              </w:rPr>
              <w:t>68</w:t>
            </w:r>
            <w:r>
              <w:rPr>
                <w:rFonts w:hint="eastAsia" w:eastAsia="楷体_GB2312"/>
                <w:color w:val="000000"/>
                <w:kern w:val="0"/>
                <w:szCs w:val="21"/>
              </w:rPr>
              <w:t>分</w:t>
            </w:r>
          </w:p>
          <w:p>
            <w:pPr>
              <w:widowControl/>
              <w:spacing w:line="400" w:lineRule="atLeast"/>
              <w:textAlignment w:val="center"/>
              <w:rPr>
                <w:rFonts w:eastAsia="楷体_GB2312"/>
                <w:color w:val="000000"/>
                <w:szCs w:val="21"/>
              </w:rPr>
            </w:pPr>
            <w:r>
              <w:rPr>
                <w:rFonts w:hint="eastAsia" w:eastAsia="楷体_GB2312"/>
                <w:color w:val="000000"/>
                <w:kern w:val="0"/>
                <w:szCs w:val="21"/>
                <w:lang w:eastAsia="zh-CN"/>
              </w:rPr>
              <w:t>企业</w:t>
            </w:r>
            <w:r>
              <w:rPr>
                <w:rFonts w:eastAsia="楷体_GB2312"/>
                <w:color w:val="000000"/>
                <w:kern w:val="0"/>
                <w:szCs w:val="21"/>
              </w:rPr>
              <w:t>扩建的生产线未完善环保审批手续，也未拆除扩建生产线。</w:t>
            </w:r>
            <w:r>
              <w:rPr>
                <w:rFonts w:hint="eastAsia" w:eastAsia="楷体_GB2312"/>
                <w:color w:val="000000"/>
                <w:kern w:val="0"/>
                <w:szCs w:val="21"/>
              </w:rPr>
              <w:t>评为</w:t>
            </w:r>
            <w:r>
              <w:rPr>
                <w:rFonts w:eastAsia="楷体_GB2312"/>
                <w:color w:val="000000"/>
                <w:szCs w:val="21"/>
              </w:rPr>
              <w:t>：</w:t>
            </w:r>
          </w:p>
          <w:p>
            <w:pPr>
              <w:rPr>
                <w:rFonts w:eastAsia="楷体_GB2312"/>
                <w:color w:val="000000"/>
                <w:kern w:val="0"/>
                <w:szCs w:val="21"/>
              </w:rPr>
            </w:pPr>
            <w:r>
              <w:rPr>
                <w:rFonts w:eastAsia="楷体_GB2312"/>
                <w:b/>
                <w:bCs/>
                <w:color w:val="000000"/>
                <w:szCs w:val="21"/>
              </w:rPr>
              <w:t>红牌</w:t>
            </w:r>
          </w:p>
        </w:tc>
      </w:tr>
    </w:tbl>
    <w:p/>
    <w:sectPr>
      <w:footerReference r:id="rId3" w:type="default"/>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小标宋简">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14.05pt;mso-position-horizontal:center;mso-position-horizontal-relative:margin;mso-wrap-style:none;z-index:251659264;mso-width-relative:page;mso-height-relative:page;" filled="f" stroked="f" coordsize="21600,21600" o:gfxdata="UEsDBAoAAAAAAIdO4kAAAAAAAAAAAAAAAAAEAAAAZHJzL1BLAwQUAAAACACHTuJAhp3nHt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O3rUoQZwW7/Q5k28j/&#10;7O03UEsDBBQAAAAIAIdO4kDFrCea7AEAALQDAAAOAAAAZHJzL2Uyb0RvYy54bWytU82O0zAQviPx&#10;DpbvNGmXwipqulp2VYS0/EgLD+A6TmIRe6yx26Q8ALwBJy7cea4+B2OnKQvcEBdrYs988803X1ZX&#10;g+nYXqHXYEs+n+WcKSuh0rYp+Yf3myeXnPkgbCU6sKrkB+X51frxo1XvCrWAFrpKISMQ64velbwN&#10;wRVZ5mWrjPAzcMrSYw1oRKBPbLIKRU/opssWef4s6wErhyCV93R7Oz7ydcKvayXD27r2KrCu5MQt&#10;pBPTuY1ntl6JokHhWi1PNMQ/sDBCW2p6hroVQbAd6r+gjJYIHuowk2AyqGstVZqBppnnf0xz3wqn&#10;0iwkjndnmfz/g5Vv9u+Q6Yp2x5kVhlZ0/Prl+O3H8ftnNo/y9M4XlHXvKC8ML2CIqXFU7+5AfvTM&#10;wk0rbKOuEaFvlaiIXqrMHpSOOD6CbPvXUFEfsQuQgIYaTQQkNRih05oO59WoITAZWz6/fHqx5EzS&#10;0+IiX+bLyC0TxVTs0IeXCgyLQcmRNp/Axf7OhzF1Som9LGx016Xtd/a3C8KMN4l85DsyD8N2OImx&#10;hepAYyCMZiLzU9ACfuKsJyOV3JLTOeteWRIiem4KcAq2UyCspMKSB87G8CaM3tw51E1LuJPU1yTW&#10;RqdBoqojhxNLskaS4mTj6L2H3ynr18+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nece0QAA&#10;AAMBAAAPAAAAAAAAAAEAIAAAACIAAABkcnMvZG93bnJldi54bWxQSwECFAAUAAAACACHTuJAxawn&#10;muwBAAC0AwAADgAAAAAAAAABACAAAAAgAQAAZHJzL2Uyb0RvYy54bWxQSwUGAAAAAAYABgBZAQAA&#10;fg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61"/>
    <w:rsid w:val="00011AC3"/>
    <w:rsid w:val="000156F7"/>
    <w:rsid w:val="00022055"/>
    <w:rsid w:val="000405D4"/>
    <w:rsid w:val="00046147"/>
    <w:rsid w:val="00047A53"/>
    <w:rsid w:val="00061A57"/>
    <w:rsid w:val="00081200"/>
    <w:rsid w:val="00090D78"/>
    <w:rsid w:val="000B0DBC"/>
    <w:rsid w:val="000C0603"/>
    <w:rsid w:val="000C2E30"/>
    <w:rsid w:val="000D46BF"/>
    <w:rsid w:val="001239DF"/>
    <w:rsid w:val="0012605D"/>
    <w:rsid w:val="00130468"/>
    <w:rsid w:val="00174463"/>
    <w:rsid w:val="001842EA"/>
    <w:rsid w:val="00190030"/>
    <w:rsid w:val="001A4149"/>
    <w:rsid w:val="001C20D3"/>
    <w:rsid w:val="001D5624"/>
    <w:rsid w:val="001D5BDD"/>
    <w:rsid w:val="001E3AC7"/>
    <w:rsid w:val="00236B99"/>
    <w:rsid w:val="002A622F"/>
    <w:rsid w:val="002B3F36"/>
    <w:rsid w:val="002B54FD"/>
    <w:rsid w:val="002C2833"/>
    <w:rsid w:val="002D1AA9"/>
    <w:rsid w:val="00313EAE"/>
    <w:rsid w:val="00316CA3"/>
    <w:rsid w:val="003215A3"/>
    <w:rsid w:val="00346928"/>
    <w:rsid w:val="00354867"/>
    <w:rsid w:val="003707F0"/>
    <w:rsid w:val="003725BE"/>
    <w:rsid w:val="00384AF0"/>
    <w:rsid w:val="00384FFA"/>
    <w:rsid w:val="00386375"/>
    <w:rsid w:val="00390D57"/>
    <w:rsid w:val="003C7563"/>
    <w:rsid w:val="003D5160"/>
    <w:rsid w:val="003D5B54"/>
    <w:rsid w:val="00440B59"/>
    <w:rsid w:val="00444C2B"/>
    <w:rsid w:val="00486007"/>
    <w:rsid w:val="004A7D01"/>
    <w:rsid w:val="004B7F14"/>
    <w:rsid w:val="004C58EC"/>
    <w:rsid w:val="004E1F10"/>
    <w:rsid w:val="004E3507"/>
    <w:rsid w:val="004F2141"/>
    <w:rsid w:val="005304B9"/>
    <w:rsid w:val="00580DAE"/>
    <w:rsid w:val="005A2838"/>
    <w:rsid w:val="005A3AAD"/>
    <w:rsid w:val="005B3347"/>
    <w:rsid w:val="005F79FF"/>
    <w:rsid w:val="0062748C"/>
    <w:rsid w:val="00640423"/>
    <w:rsid w:val="00660A70"/>
    <w:rsid w:val="006A132E"/>
    <w:rsid w:val="006C49AF"/>
    <w:rsid w:val="006C4CDD"/>
    <w:rsid w:val="006E69EA"/>
    <w:rsid w:val="007025B7"/>
    <w:rsid w:val="00703250"/>
    <w:rsid w:val="00713C63"/>
    <w:rsid w:val="007142AA"/>
    <w:rsid w:val="00726652"/>
    <w:rsid w:val="007333B2"/>
    <w:rsid w:val="007403C8"/>
    <w:rsid w:val="007618E2"/>
    <w:rsid w:val="007746E0"/>
    <w:rsid w:val="0079610D"/>
    <w:rsid w:val="007C05E8"/>
    <w:rsid w:val="007D0BC3"/>
    <w:rsid w:val="007D5A08"/>
    <w:rsid w:val="007E16E8"/>
    <w:rsid w:val="007E1F0C"/>
    <w:rsid w:val="0081401C"/>
    <w:rsid w:val="008172A6"/>
    <w:rsid w:val="0082246F"/>
    <w:rsid w:val="00837C02"/>
    <w:rsid w:val="00866266"/>
    <w:rsid w:val="008852DB"/>
    <w:rsid w:val="008861EC"/>
    <w:rsid w:val="0088768B"/>
    <w:rsid w:val="008954A2"/>
    <w:rsid w:val="008969C4"/>
    <w:rsid w:val="008E2283"/>
    <w:rsid w:val="0090306C"/>
    <w:rsid w:val="0092257B"/>
    <w:rsid w:val="00967503"/>
    <w:rsid w:val="00971F61"/>
    <w:rsid w:val="00980055"/>
    <w:rsid w:val="00987B7E"/>
    <w:rsid w:val="009920F6"/>
    <w:rsid w:val="009B6469"/>
    <w:rsid w:val="009E19A2"/>
    <w:rsid w:val="009E59ED"/>
    <w:rsid w:val="009E7A11"/>
    <w:rsid w:val="00A15AC4"/>
    <w:rsid w:val="00A27EC8"/>
    <w:rsid w:val="00A3425F"/>
    <w:rsid w:val="00A8795F"/>
    <w:rsid w:val="00AC27AC"/>
    <w:rsid w:val="00AD6C76"/>
    <w:rsid w:val="00B1238E"/>
    <w:rsid w:val="00B16A73"/>
    <w:rsid w:val="00B45037"/>
    <w:rsid w:val="00B55549"/>
    <w:rsid w:val="00B756D9"/>
    <w:rsid w:val="00BA5009"/>
    <w:rsid w:val="00BB1EBF"/>
    <w:rsid w:val="00BC612F"/>
    <w:rsid w:val="00BD77AC"/>
    <w:rsid w:val="00C0340F"/>
    <w:rsid w:val="00C12AF6"/>
    <w:rsid w:val="00C52918"/>
    <w:rsid w:val="00C604DE"/>
    <w:rsid w:val="00C63243"/>
    <w:rsid w:val="00C6408C"/>
    <w:rsid w:val="00C65EE4"/>
    <w:rsid w:val="00C91D2F"/>
    <w:rsid w:val="00C92E5F"/>
    <w:rsid w:val="00CA14D8"/>
    <w:rsid w:val="00CD4BED"/>
    <w:rsid w:val="00CF0FBA"/>
    <w:rsid w:val="00D06390"/>
    <w:rsid w:val="00D27706"/>
    <w:rsid w:val="00D6455C"/>
    <w:rsid w:val="00D71D88"/>
    <w:rsid w:val="00D73213"/>
    <w:rsid w:val="00D757DC"/>
    <w:rsid w:val="00D93BFD"/>
    <w:rsid w:val="00DD475F"/>
    <w:rsid w:val="00DD665A"/>
    <w:rsid w:val="00DE0AC0"/>
    <w:rsid w:val="00DF04A7"/>
    <w:rsid w:val="00DF0EBF"/>
    <w:rsid w:val="00E24152"/>
    <w:rsid w:val="00E43F90"/>
    <w:rsid w:val="00E75260"/>
    <w:rsid w:val="00E85BA9"/>
    <w:rsid w:val="00EB2895"/>
    <w:rsid w:val="00EC58C2"/>
    <w:rsid w:val="00EF73AF"/>
    <w:rsid w:val="00F01567"/>
    <w:rsid w:val="00F0333E"/>
    <w:rsid w:val="00F340C7"/>
    <w:rsid w:val="00F45245"/>
    <w:rsid w:val="00F7744F"/>
    <w:rsid w:val="00F97454"/>
    <w:rsid w:val="00FA51BB"/>
    <w:rsid w:val="00FB60FA"/>
    <w:rsid w:val="00FC218E"/>
    <w:rsid w:val="00FC62C6"/>
    <w:rsid w:val="00FF3D5B"/>
    <w:rsid w:val="15436284"/>
    <w:rsid w:val="237F4637"/>
    <w:rsid w:val="27D94006"/>
    <w:rsid w:val="2B8420BE"/>
    <w:rsid w:val="4C5A1333"/>
    <w:rsid w:val="545E03F8"/>
    <w:rsid w:val="5C9060D5"/>
    <w:rsid w:val="6DD80C72"/>
    <w:rsid w:val="7A5B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rFonts w:ascii="Times New Roman" w:hAnsi="Times New Roman" w:eastAsia="宋体" w:cs="Times New Roman"/>
      <w:sz w:val="18"/>
      <w:szCs w:val="20"/>
    </w:rPr>
  </w:style>
  <w:style w:type="paragraph" w:customStyle="1" w:styleId="8">
    <w:name w:val="Char"/>
    <w:basedOn w:val="2"/>
    <w:uiPriority w:val="0"/>
    <w:pPr>
      <w:snapToGrid w:val="0"/>
      <w:spacing w:before="240" w:after="240" w:line="348" w:lineRule="auto"/>
    </w:pPr>
  </w:style>
  <w:style w:type="character" w:customStyle="1" w:styleId="9">
    <w:name w:val="标题 1 字符"/>
    <w:basedOn w:val="6"/>
    <w:link w:val="2"/>
    <w:uiPriority w:val="9"/>
    <w:rPr>
      <w:rFonts w:ascii="Times New Roman" w:hAnsi="Times New Roman" w:eastAsia="宋体" w:cs="Times New Roman"/>
      <w:b/>
      <w:bCs/>
      <w:kern w:val="44"/>
      <w:sz w:val="44"/>
      <w:szCs w:val="44"/>
    </w:rPr>
  </w:style>
  <w:style w:type="character" w:customStyle="1" w:styleId="10">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729</Words>
  <Characters>4160</Characters>
  <Lines>34</Lines>
  <Paragraphs>9</Paragraphs>
  <TotalTime>0</TotalTime>
  <ScaleCrop>false</ScaleCrop>
  <LinksUpToDate>false</LinksUpToDate>
  <CharactersWithSpaces>4880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2020-03-27T02:55:00Z</dcterms:created>
  <dc:creator>彭海清</dc:creator>
  <cp:lastModifiedBy>北方大傻--小爱 </cp:lastModifiedBy>
  <dcterms:modified xsi:type="dcterms:W3CDTF">2020-04-03T03:23:04Z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