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2022年英德市餐饮环节食品监督抽检品种、检验项目</w:t>
      </w:r>
    </w:p>
    <w:p/>
    <w:tbl>
      <w:tblPr>
        <w:tblStyle w:val="6"/>
        <w:tblW w:w="49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25"/>
        <w:gridCol w:w="1371"/>
        <w:gridCol w:w="1522"/>
        <w:gridCol w:w="1505"/>
        <w:gridCol w:w="7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7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酸值/酸价、过氧化值、黄曲霉毒素B</w:t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7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风味食用盐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酒精度、铅（以Pb计）、甲醇、氰化物（以HCN计）、糖精钠（以糖精计）、甜蜜素（以环已基氨基磺酸计）、三氯蔗糖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酒精度、甲醇、苯甲酸及其钠盐（以苯甲酸计）、山梨酸及其钾盐（以山梨酸计）、糖精钠（以糖精计）、二氧化硫残留量、甜蜜素（以环已基氨基磺酸计）、三氯蔗糖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已基氨基磺酸计）、防腐剂混合使用时各自用量占其最大使用量的比例之和、亚硝酸盐（以NaNO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脱氢乙酸及其钠盐（以脱氢乙酸计）、丙酸及其钠盐、钙盐（以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苯甲酸及其钠盐（以苯甲酸计）、山梨酸及其钾盐（以山梨酸计）、脱氢乙酸及其钠盐（以脱氢乙酸计）、糖精钠（以糖精计）、甜密素（以环已基氨基确酸计）、铝的残留量（干样品，以Al计）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米面及其制品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小麦粉制品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发酵面制品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米面及其制品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小麦粉制品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油炸面制品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熟肉制品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酱卤肉制品、肉灌肠、其他熟肉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复合调味料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半固态调味料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火锅调味料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底料、蘸料</w:t>
            </w:r>
            <w:r>
              <w:rPr>
                <w:rStyle w:val="10"/>
                <w:rFonts w:eastAsia="宋体"/>
                <w:lang w:val="en-US" w:eastAsia="zh-CN" w:bidi="ar"/>
              </w:rPr>
              <w:t>)(</w:t>
            </w:r>
            <w:r>
              <w:rPr>
                <w:rStyle w:val="8"/>
                <w:lang w:val="en-US" w:eastAsia="zh-CN" w:bidi="ar"/>
              </w:rPr>
              <w:t>自制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苯甲酸及其钠盐（以苯甲酸计）、山梨酸及其钾盐（以山梨酸计）、糖精钠（以糖精计）、铅（以Pb计）、氯苯那敏（仅限凉茶）、对乙酰氨基酚（仅限凉茶）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坚果及籽类食品（餐饮）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坚果及籽类食品（餐饮）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花生及其制品（餐饮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黄曲霉毒素B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蔬菜制品</w:t>
            </w:r>
            <w:r>
              <w:rPr>
                <w:rStyle w:val="8"/>
                <w:lang w:val="en-US" w:eastAsia="zh-CN" w:bidi="ar"/>
              </w:rPr>
              <w:t>（餐饮）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酱腌菜（餐饮）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糕点（餐饮</w:t>
            </w:r>
            <w:r>
              <w:rPr>
                <w:rStyle w:val="11"/>
                <w:rFonts w:hAnsi="宋体"/>
                <w:lang w:val="en-US" w:eastAsia="zh-CN" w:bidi="ar"/>
              </w:rPr>
              <w:t>单位自制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已基氨基磺酸计）、铝的残留量（干样品，以Al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粽子（餐饮）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苯甲酸及其钠盐（以苯甲酸计)、山梨酸及其钾盐（以山梨酸计)、脱氢乙酸及其钠盐（以脱氢乙酸计）、糖精钠（以糖精计）、防腐剂混合使用时各自用量占其最大使用量比例之和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寿司（餐饮）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凉拌菜（餐饮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凉拌菜（餐饮）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生干面制品（餐饮)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其他米面制品（餐饮)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生湿面制品（餐饮)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米粉制品（餐饮)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淀粉制品（餐饮）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粉丝、粉条（餐饮）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盐（以脱氢乙酸计）、二氧化硫残留量、铝的残留量（干样品，以Al计）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吗啡、可待因、蒂巴因、罂粟碱、那可丁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餐饮食品(外卖配送）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根据食品类别确定检验项目（菌落总数、沙门氏菌、金黄色葡萄球菌、蜡样芽孢杆菌、单核细胞增生李斯特氏菌、大肠埃希氏菌0157、副溶血性弧菌）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餐馆用餐饮具（一次性餐饮具)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24DA"/>
    <w:rsid w:val="297E24DA"/>
    <w:rsid w:val="485A3BC1"/>
    <w:rsid w:val="6F2358B9"/>
    <w:rsid w:val="7BA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0" w:leftChars="0"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2022-04-20T09:15:00Z</dcterms:created>
  <dc:creator>黄先保</dc:creator>
  <cp:lastModifiedBy>Administrator</cp:lastModifiedBy>
  <cp:lastPrinted>2022-08-22T09:18:59Z</cp:lastPrinted>
  <dcterms:modified xsi:type="dcterms:W3CDTF">2022-08-22T09:19:07Z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