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5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035" w:type="dxa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一般公用预算安排的行政经费及“三公”经费预算表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035" w:type="dxa"/>
            <w:gridSpan w:val="2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50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65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单位名称：英德市文学艺术界联合会</w:t>
            </w:r>
          </w:p>
        </w:tc>
        <w:tc>
          <w:tcPr>
            <w:tcW w:w="507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单位：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542，453.00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507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其中：(一)因公出国(境)支出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(二)公务用车购置及运行维护支出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2.公务用车运行维护费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(三)公务接待费支出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916BE"/>
    <w:rsid w:val="18B91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782C1"/>
      <w:u w:val="single"/>
    </w:rPr>
  </w:style>
  <w:style w:type="character" w:styleId="5">
    <w:name w:val="Hyperlink"/>
    <w:basedOn w:val="3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2019-04-04T00:41:00Z</dcterms:created>
  <dc:creator>胖胖1377161892</dc:creator>
  <cp:lastModifiedBy>胖胖1377161892</cp:lastModifiedBy>
  <dcterms:modified xsi:type="dcterms:W3CDTF">2019-04-04T00:42:35Z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